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843" w:rsidRDefault="00B26843" w:rsidP="00B26843">
      <w:pPr>
        <w:jc w:val="center"/>
        <w:outlineLvl w:val="0"/>
        <w:rPr>
          <w:b/>
          <w:sz w:val="22"/>
          <w:szCs w:val="23"/>
        </w:rPr>
      </w:pPr>
      <w:bookmarkStart w:id="0" w:name="_GoBack"/>
      <w:bookmarkEnd w:id="0"/>
      <w:r>
        <w:rPr>
          <w:b/>
          <w:sz w:val="22"/>
          <w:szCs w:val="23"/>
        </w:rPr>
        <w:t>UCHWAŁA  NR XIII/236 /2020</w:t>
      </w:r>
    </w:p>
    <w:p w:rsidR="00B26843" w:rsidRPr="00134DD9" w:rsidRDefault="00B26843" w:rsidP="00B26843">
      <w:pPr>
        <w:jc w:val="center"/>
        <w:outlineLvl w:val="0"/>
        <w:rPr>
          <w:b/>
          <w:sz w:val="22"/>
          <w:szCs w:val="23"/>
        </w:rPr>
      </w:pPr>
      <w:r w:rsidRPr="00134DD9">
        <w:rPr>
          <w:b/>
          <w:sz w:val="22"/>
          <w:szCs w:val="23"/>
        </w:rPr>
        <w:t xml:space="preserve">RADY MIASTA </w:t>
      </w:r>
      <w:r>
        <w:rPr>
          <w:b/>
          <w:sz w:val="22"/>
          <w:szCs w:val="23"/>
        </w:rPr>
        <w:t>SOPOTU</w:t>
      </w:r>
    </w:p>
    <w:p w:rsidR="00B26843" w:rsidRDefault="00B26843" w:rsidP="00B26843">
      <w:pPr>
        <w:jc w:val="center"/>
        <w:rPr>
          <w:b/>
          <w:sz w:val="22"/>
          <w:szCs w:val="23"/>
        </w:rPr>
      </w:pPr>
      <w:r>
        <w:rPr>
          <w:b/>
          <w:sz w:val="22"/>
          <w:szCs w:val="23"/>
        </w:rPr>
        <w:t>z dnia  30 stycznia  2020 r.</w:t>
      </w:r>
    </w:p>
    <w:p w:rsidR="00B26843" w:rsidRPr="00134DD9" w:rsidRDefault="00B26843" w:rsidP="00B26843">
      <w:pPr>
        <w:jc w:val="center"/>
        <w:rPr>
          <w:b/>
          <w:sz w:val="22"/>
          <w:szCs w:val="23"/>
        </w:rPr>
      </w:pPr>
    </w:p>
    <w:p w:rsidR="00B26843" w:rsidRDefault="00B26843" w:rsidP="00B26843">
      <w:pPr>
        <w:spacing w:before="120" w:after="120"/>
        <w:jc w:val="both"/>
        <w:rPr>
          <w:b/>
          <w:bCs/>
          <w:sz w:val="22"/>
        </w:rPr>
      </w:pPr>
      <w:r w:rsidRPr="0048038B">
        <w:rPr>
          <w:b/>
          <w:bCs/>
          <w:sz w:val="22"/>
        </w:rPr>
        <w:t xml:space="preserve">w sprawie określenia kryteriów </w:t>
      </w:r>
      <w:r>
        <w:rPr>
          <w:b/>
          <w:bCs/>
          <w:sz w:val="22"/>
        </w:rPr>
        <w:t>naboru</w:t>
      </w:r>
      <w:r w:rsidRPr="0048038B">
        <w:rPr>
          <w:b/>
          <w:bCs/>
          <w:sz w:val="22"/>
        </w:rPr>
        <w:t xml:space="preserve"> do przedszkoli </w:t>
      </w:r>
      <w:r>
        <w:rPr>
          <w:b/>
          <w:bCs/>
          <w:sz w:val="22"/>
        </w:rPr>
        <w:t>publicznych</w:t>
      </w:r>
      <w:r w:rsidRPr="0048038B">
        <w:rPr>
          <w:b/>
          <w:bCs/>
          <w:sz w:val="22"/>
        </w:rPr>
        <w:t xml:space="preserve"> prowadzonych przez </w:t>
      </w:r>
      <w:r>
        <w:rPr>
          <w:b/>
          <w:bCs/>
          <w:sz w:val="22"/>
        </w:rPr>
        <w:t xml:space="preserve">Miasto Sopot </w:t>
      </w:r>
    </w:p>
    <w:p w:rsidR="00B26843" w:rsidRDefault="00B26843" w:rsidP="00B26843">
      <w:pPr>
        <w:spacing w:before="120" w:after="120"/>
        <w:jc w:val="both"/>
        <w:rPr>
          <w:sz w:val="22"/>
          <w:szCs w:val="23"/>
        </w:rPr>
      </w:pPr>
      <w:r w:rsidRPr="009B5C54">
        <w:rPr>
          <w:sz w:val="22"/>
          <w:szCs w:val="22"/>
        </w:rPr>
        <w:t xml:space="preserve">Na </w:t>
      </w:r>
      <w:r>
        <w:rPr>
          <w:sz w:val="22"/>
          <w:szCs w:val="22"/>
        </w:rPr>
        <w:t xml:space="preserve">podstawie art. 18 ust.2 pkt 15 w związku z </w:t>
      </w:r>
      <w:r w:rsidRPr="009B5C54">
        <w:rPr>
          <w:sz w:val="22"/>
          <w:szCs w:val="22"/>
        </w:rPr>
        <w:t xml:space="preserve">art.40 ust.1 </w:t>
      </w:r>
      <w:r>
        <w:rPr>
          <w:sz w:val="22"/>
          <w:szCs w:val="22"/>
        </w:rPr>
        <w:t>ustawy z dnia 8 marca 1990 r. o </w:t>
      </w:r>
      <w:r w:rsidRPr="009B5C54">
        <w:rPr>
          <w:sz w:val="22"/>
          <w:szCs w:val="22"/>
        </w:rPr>
        <w:t>samorządzie gminnym (</w:t>
      </w:r>
      <w:r>
        <w:rPr>
          <w:sz w:val="22"/>
          <w:szCs w:val="22"/>
        </w:rPr>
        <w:t>Dz.U. z 2019 r. poz. 506</w:t>
      </w:r>
      <w:r>
        <w:rPr>
          <w:rStyle w:val="Odwoanieprzypisudolnego"/>
          <w:sz w:val="22"/>
          <w:szCs w:val="22"/>
        </w:rPr>
        <w:footnoteReference w:id="1"/>
      </w:r>
      <w:r>
        <w:rPr>
          <w:sz w:val="22"/>
          <w:szCs w:val="22"/>
        </w:rPr>
        <w:t xml:space="preserve">) oraz  art. 131 ust 6 ustawy  z dnia 14 grudnia 2016 r. Prawo oświatowe </w:t>
      </w:r>
      <w:r w:rsidRPr="009B5C54">
        <w:rPr>
          <w:rStyle w:val="Odwoanieprzypisudolnego"/>
          <w:sz w:val="22"/>
          <w:szCs w:val="22"/>
        </w:rPr>
        <w:t xml:space="preserve"> </w:t>
      </w:r>
      <w:r>
        <w:rPr>
          <w:sz w:val="22"/>
          <w:szCs w:val="22"/>
        </w:rPr>
        <w:t xml:space="preserve"> </w:t>
      </w:r>
      <w:r w:rsidRPr="009B5C54">
        <w:rPr>
          <w:sz w:val="22"/>
          <w:szCs w:val="23"/>
        </w:rPr>
        <w:t>(</w:t>
      </w:r>
      <w:r>
        <w:rPr>
          <w:sz w:val="22"/>
          <w:szCs w:val="23"/>
        </w:rPr>
        <w:t>Dz.U. z 2019 r. poz. 1148</w:t>
      </w:r>
      <w:r>
        <w:rPr>
          <w:rStyle w:val="Odwoanieprzypisudolnego"/>
          <w:sz w:val="22"/>
          <w:szCs w:val="23"/>
        </w:rPr>
        <w:footnoteReference w:id="2"/>
      </w:r>
      <w:r w:rsidRPr="009B5C54">
        <w:rPr>
          <w:sz w:val="22"/>
          <w:szCs w:val="23"/>
        </w:rPr>
        <w:t xml:space="preserve">); </w:t>
      </w:r>
    </w:p>
    <w:p w:rsidR="00B26843" w:rsidRDefault="00B26843" w:rsidP="00B26843">
      <w:pPr>
        <w:spacing w:before="120" w:after="120"/>
        <w:jc w:val="both"/>
        <w:rPr>
          <w:b/>
          <w:bCs/>
          <w:sz w:val="22"/>
        </w:rPr>
      </w:pPr>
    </w:p>
    <w:p w:rsidR="00B26843" w:rsidRDefault="00B26843" w:rsidP="00B26843">
      <w:pPr>
        <w:spacing w:before="120" w:after="120"/>
        <w:jc w:val="center"/>
        <w:rPr>
          <w:sz w:val="22"/>
          <w:szCs w:val="23"/>
        </w:rPr>
      </w:pPr>
      <w:r>
        <w:rPr>
          <w:sz w:val="22"/>
          <w:szCs w:val="23"/>
        </w:rPr>
        <w:t xml:space="preserve">Rada Miasta Sopotu </w:t>
      </w:r>
      <w:r w:rsidRPr="00134DD9">
        <w:rPr>
          <w:sz w:val="22"/>
          <w:szCs w:val="23"/>
        </w:rPr>
        <w:t>uchwala, co następuje:</w:t>
      </w:r>
      <w:bookmarkStart w:id="1" w:name="§1"/>
      <w:bookmarkEnd w:id="1"/>
    </w:p>
    <w:p w:rsidR="00B26843" w:rsidRDefault="00B26843" w:rsidP="00B26843">
      <w:pPr>
        <w:shd w:val="clear" w:color="auto" w:fill="FFFFFF"/>
        <w:jc w:val="both"/>
        <w:rPr>
          <w:sz w:val="22"/>
          <w:szCs w:val="23"/>
        </w:rPr>
      </w:pPr>
    </w:p>
    <w:p w:rsidR="00B26843" w:rsidRDefault="00B26843" w:rsidP="00B26843">
      <w:pPr>
        <w:shd w:val="clear" w:color="auto" w:fill="FFFFFF"/>
        <w:jc w:val="both"/>
      </w:pPr>
      <w:r>
        <w:rPr>
          <w:sz w:val="22"/>
          <w:szCs w:val="23"/>
        </w:rPr>
        <w:t xml:space="preserve">§ 1. </w:t>
      </w:r>
      <w:r w:rsidRPr="00537894">
        <w:t xml:space="preserve">Ustala się kryteria naboru do </w:t>
      </w:r>
      <w:r>
        <w:t xml:space="preserve">publicznych </w:t>
      </w:r>
      <w:r w:rsidRPr="00537894">
        <w:t xml:space="preserve">przedszkoli </w:t>
      </w:r>
      <w:r>
        <w:t xml:space="preserve">prowadzonych przez Miasto Sopot </w:t>
      </w:r>
      <w:r w:rsidRPr="00537894">
        <w:t xml:space="preserve">na drugim etapie postępowania rekrutacyjnego </w:t>
      </w:r>
      <w:r>
        <w:t>z o przyporządkowanej</w:t>
      </w:r>
      <w:r w:rsidRPr="00CA1AD2">
        <w:t xml:space="preserve"> wartości punktowej:</w:t>
      </w:r>
    </w:p>
    <w:p w:rsidR="00B26843" w:rsidRPr="000D012D" w:rsidRDefault="00B26843" w:rsidP="00B26843">
      <w:pPr>
        <w:shd w:val="clear" w:color="auto" w:fill="FFFFFF"/>
        <w:jc w:val="both"/>
      </w:pPr>
    </w:p>
    <w:tbl>
      <w:tblPr>
        <w:tblStyle w:val="Tabela-Siatka"/>
        <w:tblpPr w:leftFromText="141" w:rightFromText="141"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6796"/>
        <w:gridCol w:w="425"/>
        <w:gridCol w:w="1594"/>
      </w:tblGrid>
      <w:tr w:rsidR="00B26843" w:rsidRPr="009954E8" w:rsidTr="001F40FB">
        <w:tc>
          <w:tcPr>
            <w:tcW w:w="400" w:type="dxa"/>
          </w:tcPr>
          <w:p w:rsidR="00B26843" w:rsidRPr="009954E8" w:rsidRDefault="00B26843" w:rsidP="001F40FB">
            <w:pPr>
              <w:jc w:val="both"/>
              <w:rPr>
                <w:sz w:val="22"/>
                <w:szCs w:val="23"/>
              </w:rPr>
            </w:pPr>
            <w:r w:rsidRPr="009954E8">
              <w:rPr>
                <w:sz w:val="22"/>
                <w:szCs w:val="23"/>
              </w:rPr>
              <w:t>1)</w:t>
            </w:r>
          </w:p>
        </w:tc>
        <w:tc>
          <w:tcPr>
            <w:tcW w:w="6796" w:type="dxa"/>
          </w:tcPr>
          <w:p w:rsidR="00B26843" w:rsidRPr="009954E8" w:rsidRDefault="00B26843" w:rsidP="001F40FB">
            <w:pPr>
              <w:jc w:val="both"/>
              <w:rPr>
                <w:sz w:val="22"/>
                <w:szCs w:val="23"/>
              </w:rPr>
            </w:pPr>
            <w:r w:rsidRPr="009954E8">
              <w:rPr>
                <w:sz w:val="22"/>
                <w:szCs w:val="23"/>
              </w:rPr>
              <w:t>kandydaci, których rodzeństwo jest już przyjęte do danego przedszkola</w:t>
            </w:r>
          </w:p>
        </w:tc>
        <w:tc>
          <w:tcPr>
            <w:tcW w:w="425" w:type="dxa"/>
          </w:tcPr>
          <w:p w:rsidR="00B26843" w:rsidRPr="009954E8" w:rsidRDefault="00B26843" w:rsidP="001F40FB">
            <w:pPr>
              <w:jc w:val="both"/>
              <w:rPr>
                <w:sz w:val="22"/>
                <w:szCs w:val="23"/>
              </w:rPr>
            </w:pPr>
            <w:r w:rsidRPr="009954E8">
              <w:rPr>
                <w:sz w:val="22"/>
                <w:szCs w:val="23"/>
              </w:rPr>
              <w:t>-</w:t>
            </w:r>
          </w:p>
        </w:tc>
        <w:tc>
          <w:tcPr>
            <w:tcW w:w="1594" w:type="dxa"/>
          </w:tcPr>
          <w:p w:rsidR="00B26843" w:rsidRPr="009954E8" w:rsidRDefault="00B26843" w:rsidP="001F40FB">
            <w:pPr>
              <w:jc w:val="center"/>
              <w:rPr>
                <w:sz w:val="22"/>
                <w:szCs w:val="23"/>
              </w:rPr>
            </w:pPr>
            <w:r w:rsidRPr="009954E8">
              <w:rPr>
                <w:sz w:val="22"/>
                <w:szCs w:val="23"/>
              </w:rPr>
              <w:t>10 pkt;</w:t>
            </w:r>
          </w:p>
        </w:tc>
      </w:tr>
      <w:tr w:rsidR="00B26843" w:rsidRPr="009954E8" w:rsidTr="001F40FB">
        <w:tc>
          <w:tcPr>
            <w:tcW w:w="400" w:type="dxa"/>
          </w:tcPr>
          <w:p w:rsidR="00B26843" w:rsidRPr="009954E8" w:rsidRDefault="00B26843" w:rsidP="001F40FB">
            <w:pPr>
              <w:jc w:val="both"/>
              <w:rPr>
                <w:sz w:val="22"/>
                <w:szCs w:val="23"/>
              </w:rPr>
            </w:pPr>
            <w:r w:rsidRPr="009954E8">
              <w:rPr>
                <w:sz w:val="22"/>
                <w:szCs w:val="23"/>
              </w:rPr>
              <w:t>2)</w:t>
            </w:r>
          </w:p>
        </w:tc>
        <w:tc>
          <w:tcPr>
            <w:tcW w:w="6796" w:type="dxa"/>
          </w:tcPr>
          <w:p w:rsidR="00B26843" w:rsidRPr="009954E8" w:rsidRDefault="00B26843" w:rsidP="001F40FB">
            <w:pPr>
              <w:jc w:val="both"/>
              <w:rPr>
                <w:sz w:val="22"/>
                <w:szCs w:val="23"/>
              </w:rPr>
            </w:pPr>
            <w:r w:rsidRPr="009954E8">
              <w:rPr>
                <w:sz w:val="22"/>
                <w:szCs w:val="23"/>
              </w:rPr>
              <w:t xml:space="preserve">kandydaci, których </w:t>
            </w:r>
            <w:r>
              <w:rPr>
                <w:sz w:val="22"/>
                <w:szCs w:val="23"/>
              </w:rPr>
              <w:t>oboje rodzice bądź prawni</w:t>
            </w:r>
            <w:r w:rsidRPr="009954E8">
              <w:rPr>
                <w:sz w:val="22"/>
                <w:szCs w:val="23"/>
              </w:rPr>
              <w:t xml:space="preserve"> opiekunowie zatrudnieni są w oparciu o umowę o pracę, umowę cywilno-prawną lub prowadzą działalność gospodarczą </w:t>
            </w:r>
          </w:p>
        </w:tc>
        <w:tc>
          <w:tcPr>
            <w:tcW w:w="425" w:type="dxa"/>
          </w:tcPr>
          <w:p w:rsidR="00B26843" w:rsidRPr="009954E8" w:rsidRDefault="00B26843" w:rsidP="001F40FB">
            <w:pPr>
              <w:jc w:val="both"/>
              <w:rPr>
                <w:sz w:val="22"/>
                <w:szCs w:val="23"/>
              </w:rPr>
            </w:pPr>
          </w:p>
          <w:p w:rsidR="00B26843" w:rsidRPr="009954E8" w:rsidRDefault="00B26843" w:rsidP="001F40FB">
            <w:pPr>
              <w:jc w:val="both"/>
              <w:rPr>
                <w:sz w:val="22"/>
                <w:szCs w:val="23"/>
              </w:rPr>
            </w:pPr>
          </w:p>
          <w:p w:rsidR="00B26843" w:rsidRPr="009954E8" w:rsidRDefault="00B26843" w:rsidP="001F40FB">
            <w:pPr>
              <w:jc w:val="both"/>
              <w:rPr>
                <w:sz w:val="22"/>
                <w:szCs w:val="23"/>
              </w:rPr>
            </w:pPr>
            <w:r w:rsidRPr="009954E8">
              <w:rPr>
                <w:sz w:val="22"/>
                <w:szCs w:val="23"/>
              </w:rPr>
              <w:t>-</w:t>
            </w:r>
          </w:p>
        </w:tc>
        <w:tc>
          <w:tcPr>
            <w:tcW w:w="1594" w:type="dxa"/>
          </w:tcPr>
          <w:p w:rsidR="00B26843" w:rsidRPr="009954E8" w:rsidRDefault="00B26843" w:rsidP="001F40FB">
            <w:pPr>
              <w:jc w:val="center"/>
              <w:rPr>
                <w:sz w:val="22"/>
                <w:szCs w:val="23"/>
              </w:rPr>
            </w:pPr>
          </w:p>
          <w:p w:rsidR="00B26843" w:rsidRPr="009954E8" w:rsidRDefault="00B26843" w:rsidP="001F40FB">
            <w:pPr>
              <w:jc w:val="center"/>
              <w:rPr>
                <w:sz w:val="22"/>
                <w:szCs w:val="23"/>
              </w:rPr>
            </w:pPr>
          </w:p>
          <w:p w:rsidR="00B26843" w:rsidRPr="009954E8" w:rsidRDefault="00B26843" w:rsidP="001F40FB">
            <w:pPr>
              <w:jc w:val="center"/>
              <w:rPr>
                <w:sz w:val="22"/>
                <w:szCs w:val="23"/>
              </w:rPr>
            </w:pPr>
            <w:r w:rsidRPr="009954E8">
              <w:rPr>
                <w:sz w:val="22"/>
                <w:szCs w:val="23"/>
              </w:rPr>
              <w:t>10 pkt;</w:t>
            </w:r>
          </w:p>
        </w:tc>
      </w:tr>
      <w:tr w:rsidR="00B26843" w:rsidRPr="009954E8" w:rsidTr="001F40FB">
        <w:tc>
          <w:tcPr>
            <w:tcW w:w="400" w:type="dxa"/>
          </w:tcPr>
          <w:p w:rsidR="00B26843" w:rsidRPr="009954E8" w:rsidRDefault="00B26843" w:rsidP="001F40FB">
            <w:pPr>
              <w:jc w:val="both"/>
              <w:rPr>
                <w:sz w:val="22"/>
                <w:szCs w:val="23"/>
              </w:rPr>
            </w:pPr>
            <w:r w:rsidRPr="009954E8">
              <w:rPr>
                <w:sz w:val="22"/>
                <w:szCs w:val="23"/>
              </w:rPr>
              <w:t>3)</w:t>
            </w:r>
          </w:p>
        </w:tc>
        <w:tc>
          <w:tcPr>
            <w:tcW w:w="6796" w:type="dxa"/>
          </w:tcPr>
          <w:p w:rsidR="00B26843" w:rsidRPr="009954E8" w:rsidRDefault="00B26843" w:rsidP="001F40FB">
            <w:pPr>
              <w:jc w:val="both"/>
              <w:rPr>
                <w:sz w:val="22"/>
                <w:szCs w:val="23"/>
              </w:rPr>
            </w:pPr>
            <w:r w:rsidRPr="009954E8">
              <w:rPr>
                <w:sz w:val="22"/>
                <w:szCs w:val="23"/>
              </w:rPr>
              <w:t>kandydaci, których rodzice bądź opiekunowie prawni albo rodzic bądź opiekun prawny rozliczają /-a podatek dochodowy od dochodów osobistych (PIT) w Urzędzie Skarbowym w Sopocie.</w:t>
            </w:r>
          </w:p>
        </w:tc>
        <w:tc>
          <w:tcPr>
            <w:tcW w:w="425" w:type="dxa"/>
          </w:tcPr>
          <w:p w:rsidR="00B26843" w:rsidRPr="009954E8" w:rsidRDefault="00B26843" w:rsidP="001F40FB">
            <w:pPr>
              <w:jc w:val="both"/>
              <w:rPr>
                <w:sz w:val="22"/>
                <w:szCs w:val="23"/>
              </w:rPr>
            </w:pPr>
          </w:p>
          <w:p w:rsidR="00B26843" w:rsidRPr="009954E8" w:rsidRDefault="00B26843" w:rsidP="001F40FB">
            <w:pPr>
              <w:jc w:val="both"/>
              <w:rPr>
                <w:sz w:val="22"/>
                <w:szCs w:val="23"/>
              </w:rPr>
            </w:pPr>
          </w:p>
          <w:p w:rsidR="00B26843" w:rsidRPr="009954E8" w:rsidRDefault="00B26843" w:rsidP="001F40FB">
            <w:pPr>
              <w:jc w:val="both"/>
              <w:rPr>
                <w:sz w:val="22"/>
                <w:szCs w:val="23"/>
              </w:rPr>
            </w:pPr>
            <w:r w:rsidRPr="009954E8">
              <w:rPr>
                <w:sz w:val="22"/>
                <w:szCs w:val="23"/>
              </w:rPr>
              <w:t>-</w:t>
            </w:r>
          </w:p>
        </w:tc>
        <w:tc>
          <w:tcPr>
            <w:tcW w:w="1594" w:type="dxa"/>
          </w:tcPr>
          <w:p w:rsidR="00B26843" w:rsidRPr="009954E8" w:rsidRDefault="00B26843" w:rsidP="001F40FB">
            <w:pPr>
              <w:jc w:val="center"/>
              <w:rPr>
                <w:sz w:val="22"/>
                <w:szCs w:val="23"/>
              </w:rPr>
            </w:pPr>
          </w:p>
          <w:p w:rsidR="00B26843" w:rsidRPr="009954E8" w:rsidRDefault="00B26843" w:rsidP="001F40FB">
            <w:pPr>
              <w:jc w:val="center"/>
              <w:rPr>
                <w:sz w:val="22"/>
                <w:szCs w:val="23"/>
              </w:rPr>
            </w:pPr>
          </w:p>
          <w:p w:rsidR="00B26843" w:rsidRPr="009954E8" w:rsidRDefault="00B26843" w:rsidP="001F40FB">
            <w:pPr>
              <w:jc w:val="center"/>
              <w:rPr>
                <w:sz w:val="22"/>
                <w:szCs w:val="23"/>
              </w:rPr>
            </w:pPr>
            <w:r w:rsidRPr="009954E8">
              <w:rPr>
                <w:sz w:val="22"/>
                <w:szCs w:val="23"/>
              </w:rPr>
              <w:t>10 pkt;</w:t>
            </w:r>
          </w:p>
        </w:tc>
      </w:tr>
      <w:tr w:rsidR="00B26843" w:rsidRPr="009954E8" w:rsidTr="001F40FB">
        <w:tc>
          <w:tcPr>
            <w:tcW w:w="400" w:type="dxa"/>
          </w:tcPr>
          <w:p w:rsidR="00B26843" w:rsidRPr="009954E8" w:rsidRDefault="00B26843" w:rsidP="001F40FB">
            <w:pPr>
              <w:jc w:val="both"/>
              <w:rPr>
                <w:sz w:val="22"/>
                <w:szCs w:val="23"/>
              </w:rPr>
            </w:pPr>
            <w:r w:rsidRPr="009954E8">
              <w:rPr>
                <w:sz w:val="22"/>
                <w:szCs w:val="23"/>
              </w:rPr>
              <w:t>4)</w:t>
            </w:r>
          </w:p>
        </w:tc>
        <w:tc>
          <w:tcPr>
            <w:tcW w:w="6796" w:type="dxa"/>
          </w:tcPr>
          <w:p w:rsidR="00B26843" w:rsidRPr="009954E8" w:rsidRDefault="00B26843" w:rsidP="001F40FB">
            <w:pPr>
              <w:jc w:val="both"/>
              <w:rPr>
                <w:sz w:val="22"/>
                <w:szCs w:val="23"/>
              </w:rPr>
            </w:pPr>
            <w:r w:rsidRPr="009954E8">
              <w:rPr>
                <w:sz w:val="22"/>
                <w:szCs w:val="23"/>
              </w:rPr>
              <w:t>odległość od miejsca zamieszkania kandydata do publicznego przedszkola, do którego składany jest wniosek, nie przekracza 3 km</w:t>
            </w:r>
          </w:p>
        </w:tc>
        <w:tc>
          <w:tcPr>
            <w:tcW w:w="425" w:type="dxa"/>
          </w:tcPr>
          <w:p w:rsidR="00B26843" w:rsidRPr="009954E8" w:rsidRDefault="00B26843" w:rsidP="001F40FB">
            <w:pPr>
              <w:jc w:val="both"/>
              <w:rPr>
                <w:sz w:val="22"/>
                <w:szCs w:val="23"/>
              </w:rPr>
            </w:pPr>
          </w:p>
          <w:p w:rsidR="00B26843" w:rsidRPr="009954E8" w:rsidRDefault="00B26843" w:rsidP="001F40FB">
            <w:pPr>
              <w:jc w:val="both"/>
              <w:rPr>
                <w:sz w:val="22"/>
                <w:szCs w:val="23"/>
              </w:rPr>
            </w:pPr>
            <w:r w:rsidRPr="009954E8">
              <w:rPr>
                <w:sz w:val="22"/>
                <w:szCs w:val="23"/>
              </w:rPr>
              <w:t>-</w:t>
            </w:r>
          </w:p>
        </w:tc>
        <w:tc>
          <w:tcPr>
            <w:tcW w:w="1594" w:type="dxa"/>
          </w:tcPr>
          <w:p w:rsidR="00B26843" w:rsidRPr="009954E8" w:rsidRDefault="00B26843" w:rsidP="001F40FB">
            <w:pPr>
              <w:jc w:val="center"/>
              <w:rPr>
                <w:sz w:val="22"/>
                <w:szCs w:val="23"/>
              </w:rPr>
            </w:pPr>
          </w:p>
          <w:p w:rsidR="00B26843" w:rsidRPr="009954E8" w:rsidRDefault="00B26843" w:rsidP="001F40FB">
            <w:pPr>
              <w:jc w:val="center"/>
              <w:rPr>
                <w:sz w:val="22"/>
                <w:szCs w:val="23"/>
              </w:rPr>
            </w:pPr>
            <w:r w:rsidRPr="009954E8">
              <w:rPr>
                <w:sz w:val="22"/>
                <w:szCs w:val="23"/>
              </w:rPr>
              <w:t>7 pkt;</w:t>
            </w:r>
          </w:p>
        </w:tc>
      </w:tr>
      <w:tr w:rsidR="00B26843" w:rsidRPr="009954E8" w:rsidTr="001F40FB">
        <w:trPr>
          <w:trHeight w:val="976"/>
        </w:trPr>
        <w:tc>
          <w:tcPr>
            <w:tcW w:w="400" w:type="dxa"/>
          </w:tcPr>
          <w:p w:rsidR="00B26843" w:rsidRPr="009954E8" w:rsidRDefault="00B26843" w:rsidP="001F40FB">
            <w:pPr>
              <w:jc w:val="both"/>
              <w:rPr>
                <w:sz w:val="22"/>
                <w:szCs w:val="23"/>
              </w:rPr>
            </w:pPr>
            <w:r w:rsidRPr="009954E8">
              <w:rPr>
                <w:sz w:val="22"/>
                <w:szCs w:val="23"/>
              </w:rPr>
              <w:t>5)</w:t>
            </w:r>
          </w:p>
        </w:tc>
        <w:tc>
          <w:tcPr>
            <w:tcW w:w="6796" w:type="dxa"/>
          </w:tcPr>
          <w:p w:rsidR="00B26843" w:rsidRDefault="00B26843" w:rsidP="001F40FB">
            <w:pPr>
              <w:jc w:val="both"/>
              <w:rPr>
                <w:sz w:val="22"/>
                <w:szCs w:val="23"/>
              </w:rPr>
            </w:pPr>
            <w:r w:rsidRPr="009954E8">
              <w:rPr>
                <w:sz w:val="22"/>
                <w:szCs w:val="23"/>
              </w:rPr>
              <w:t xml:space="preserve">dziecko posiadające na dzień rekrutacji obowiązkowe szczepienia ochronne określone  w Programie Szczepień Ochronnych lub dziecko, </w:t>
            </w:r>
          </w:p>
          <w:p w:rsidR="00B26843" w:rsidRPr="009954E8" w:rsidRDefault="00B26843" w:rsidP="001F40FB">
            <w:pPr>
              <w:jc w:val="both"/>
              <w:rPr>
                <w:i/>
                <w:sz w:val="22"/>
                <w:szCs w:val="23"/>
              </w:rPr>
            </w:pPr>
            <w:r w:rsidRPr="009954E8">
              <w:rPr>
                <w:sz w:val="22"/>
                <w:szCs w:val="23"/>
              </w:rPr>
              <w:t>u którego lekarskie badanie</w:t>
            </w:r>
            <w:r>
              <w:rPr>
                <w:sz w:val="22"/>
                <w:szCs w:val="23"/>
              </w:rPr>
              <w:t xml:space="preserve"> kwalifikacyjne daje podstawy </w:t>
            </w:r>
            <w:r w:rsidRPr="00D66B2E">
              <w:rPr>
                <w:sz w:val="22"/>
                <w:szCs w:val="23"/>
              </w:rPr>
              <w:t xml:space="preserve">do długotrwałego odroczenia obowiązkowego szczepienia ochronnego </w:t>
            </w:r>
            <w:r w:rsidRPr="009954E8">
              <w:rPr>
                <w:sz w:val="22"/>
                <w:szCs w:val="23"/>
              </w:rPr>
              <w:t xml:space="preserve"> </w:t>
            </w:r>
            <w:r>
              <w:rPr>
                <w:sz w:val="22"/>
                <w:szCs w:val="23"/>
              </w:rPr>
              <w:t xml:space="preserve"> </w:t>
            </w:r>
          </w:p>
        </w:tc>
        <w:tc>
          <w:tcPr>
            <w:tcW w:w="425" w:type="dxa"/>
          </w:tcPr>
          <w:p w:rsidR="00B26843" w:rsidRPr="009954E8" w:rsidRDefault="00B26843" w:rsidP="001F40FB">
            <w:pPr>
              <w:jc w:val="both"/>
              <w:rPr>
                <w:sz w:val="22"/>
                <w:szCs w:val="23"/>
              </w:rPr>
            </w:pPr>
          </w:p>
          <w:p w:rsidR="00B26843" w:rsidRPr="009954E8" w:rsidRDefault="00B26843" w:rsidP="001F40FB">
            <w:pPr>
              <w:jc w:val="both"/>
              <w:rPr>
                <w:sz w:val="22"/>
                <w:szCs w:val="23"/>
              </w:rPr>
            </w:pPr>
          </w:p>
          <w:p w:rsidR="00B26843" w:rsidRPr="009954E8" w:rsidRDefault="00B26843" w:rsidP="001F40FB">
            <w:pPr>
              <w:jc w:val="both"/>
              <w:rPr>
                <w:sz w:val="22"/>
                <w:szCs w:val="23"/>
              </w:rPr>
            </w:pPr>
            <w:r w:rsidRPr="009954E8">
              <w:rPr>
                <w:sz w:val="22"/>
                <w:szCs w:val="23"/>
              </w:rPr>
              <w:t>-</w:t>
            </w:r>
          </w:p>
        </w:tc>
        <w:tc>
          <w:tcPr>
            <w:tcW w:w="1594" w:type="dxa"/>
          </w:tcPr>
          <w:p w:rsidR="00B26843" w:rsidRPr="009954E8" w:rsidRDefault="00B26843" w:rsidP="001F40FB">
            <w:pPr>
              <w:jc w:val="center"/>
              <w:rPr>
                <w:sz w:val="22"/>
                <w:szCs w:val="23"/>
              </w:rPr>
            </w:pPr>
          </w:p>
          <w:p w:rsidR="00B26843" w:rsidRPr="009954E8" w:rsidRDefault="00B26843" w:rsidP="001F40FB">
            <w:pPr>
              <w:jc w:val="center"/>
              <w:rPr>
                <w:sz w:val="22"/>
                <w:szCs w:val="23"/>
              </w:rPr>
            </w:pPr>
          </w:p>
          <w:p w:rsidR="00B26843" w:rsidRPr="009954E8" w:rsidRDefault="00B26843" w:rsidP="001F40FB">
            <w:pPr>
              <w:jc w:val="center"/>
              <w:rPr>
                <w:sz w:val="22"/>
                <w:szCs w:val="23"/>
              </w:rPr>
            </w:pPr>
            <w:r w:rsidRPr="009954E8">
              <w:rPr>
                <w:sz w:val="22"/>
                <w:szCs w:val="23"/>
              </w:rPr>
              <w:t>6 pkt;</w:t>
            </w:r>
          </w:p>
        </w:tc>
      </w:tr>
      <w:tr w:rsidR="00B26843" w:rsidRPr="009954E8" w:rsidTr="001F40FB">
        <w:tc>
          <w:tcPr>
            <w:tcW w:w="400" w:type="dxa"/>
          </w:tcPr>
          <w:p w:rsidR="00B26843" w:rsidRPr="009954E8" w:rsidRDefault="00B26843" w:rsidP="001F40FB">
            <w:pPr>
              <w:jc w:val="both"/>
              <w:rPr>
                <w:sz w:val="22"/>
                <w:szCs w:val="23"/>
              </w:rPr>
            </w:pPr>
            <w:r w:rsidRPr="009954E8">
              <w:rPr>
                <w:sz w:val="22"/>
                <w:szCs w:val="23"/>
              </w:rPr>
              <w:t>6)</w:t>
            </w:r>
          </w:p>
        </w:tc>
        <w:tc>
          <w:tcPr>
            <w:tcW w:w="6796" w:type="dxa"/>
          </w:tcPr>
          <w:p w:rsidR="00B26843" w:rsidRPr="009954E8" w:rsidRDefault="00B26843" w:rsidP="001F40FB">
            <w:pPr>
              <w:jc w:val="both"/>
              <w:rPr>
                <w:sz w:val="22"/>
                <w:szCs w:val="23"/>
              </w:rPr>
            </w:pPr>
            <w:r w:rsidRPr="009954E8">
              <w:rPr>
                <w:sz w:val="22"/>
                <w:szCs w:val="23"/>
              </w:rPr>
              <w:t xml:space="preserve">kandydaci, których rodzice bądź prawni opiekunowie są uczestnikami stacjonarnych studiów wyższych lub doktoranckich  </w:t>
            </w:r>
          </w:p>
        </w:tc>
        <w:tc>
          <w:tcPr>
            <w:tcW w:w="425" w:type="dxa"/>
          </w:tcPr>
          <w:p w:rsidR="00B26843" w:rsidRPr="009954E8" w:rsidRDefault="00B26843" w:rsidP="001F40FB">
            <w:pPr>
              <w:jc w:val="both"/>
              <w:rPr>
                <w:sz w:val="22"/>
                <w:szCs w:val="23"/>
              </w:rPr>
            </w:pPr>
          </w:p>
          <w:p w:rsidR="00B26843" w:rsidRPr="009954E8" w:rsidRDefault="00B26843" w:rsidP="001F40FB">
            <w:pPr>
              <w:jc w:val="both"/>
              <w:rPr>
                <w:sz w:val="22"/>
                <w:szCs w:val="23"/>
              </w:rPr>
            </w:pPr>
            <w:r w:rsidRPr="009954E8">
              <w:rPr>
                <w:sz w:val="22"/>
                <w:szCs w:val="23"/>
              </w:rPr>
              <w:t>-</w:t>
            </w:r>
          </w:p>
        </w:tc>
        <w:tc>
          <w:tcPr>
            <w:tcW w:w="1594" w:type="dxa"/>
          </w:tcPr>
          <w:p w:rsidR="00B26843" w:rsidRPr="009954E8" w:rsidRDefault="00B26843" w:rsidP="001F40FB">
            <w:pPr>
              <w:jc w:val="center"/>
              <w:rPr>
                <w:sz w:val="22"/>
                <w:szCs w:val="23"/>
              </w:rPr>
            </w:pPr>
          </w:p>
          <w:p w:rsidR="00B26843" w:rsidRPr="009954E8" w:rsidRDefault="00B26843" w:rsidP="001F40FB">
            <w:pPr>
              <w:jc w:val="center"/>
              <w:rPr>
                <w:sz w:val="22"/>
                <w:szCs w:val="23"/>
              </w:rPr>
            </w:pPr>
            <w:r w:rsidRPr="009954E8">
              <w:rPr>
                <w:sz w:val="22"/>
                <w:szCs w:val="23"/>
              </w:rPr>
              <w:t>5 pkt.</w:t>
            </w:r>
          </w:p>
        </w:tc>
      </w:tr>
    </w:tbl>
    <w:p w:rsidR="00B26843" w:rsidRDefault="00B26843" w:rsidP="00B26843">
      <w:pPr>
        <w:jc w:val="both"/>
        <w:rPr>
          <w:sz w:val="22"/>
          <w:szCs w:val="23"/>
        </w:rPr>
      </w:pPr>
    </w:p>
    <w:p w:rsidR="00B26843" w:rsidRDefault="00B26843" w:rsidP="00B26843">
      <w:pPr>
        <w:jc w:val="both"/>
        <w:rPr>
          <w:sz w:val="22"/>
          <w:szCs w:val="23"/>
        </w:rPr>
      </w:pPr>
    </w:p>
    <w:p w:rsidR="00B26843" w:rsidRDefault="00B26843" w:rsidP="00B26843">
      <w:pPr>
        <w:jc w:val="both"/>
        <w:rPr>
          <w:sz w:val="22"/>
          <w:szCs w:val="23"/>
        </w:rPr>
      </w:pPr>
      <w:r>
        <w:rPr>
          <w:sz w:val="22"/>
          <w:szCs w:val="23"/>
        </w:rPr>
        <w:t>§ 2.</w:t>
      </w:r>
      <w:r w:rsidRPr="00643C10">
        <w:rPr>
          <w:sz w:val="22"/>
          <w:szCs w:val="23"/>
        </w:rPr>
        <w:t xml:space="preserve"> </w:t>
      </w:r>
      <w:r w:rsidRPr="00CF67B0">
        <w:rPr>
          <w:sz w:val="22"/>
          <w:szCs w:val="23"/>
        </w:rPr>
        <w:t>Dokumentami potwierdzającymi spełnienie k</w:t>
      </w:r>
      <w:r>
        <w:rPr>
          <w:sz w:val="22"/>
          <w:szCs w:val="23"/>
        </w:rPr>
        <w:t>ryteriów, o których mowa w § 1</w:t>
      </w:r>
      <w:r w:rsidRPr="00CF67B0">
        <w:rPr>
          <w:sz w:val="22"/>
          <w:szCs w:val="23"/>
        </w:rPr>
        <w:t>, są odpowiednio</w:t>
      </w:r>
      <w:r>
        <w:rPr>
          <w:sz w:val="22"/>
          <w:szCs w:val="23"/>
        </w:rPr>
        <w:t>:</w:t>
      </w:r>
    </w:p>
    <w:p w:rsidR="00B26843" w:rsidRDefault="00B26843" w:rsidP="00B26843">
      <w:pPr>
        <w:jc w:val="both"/>
        <w:rPr>
          <w:sz w:val="22"/>
          <w:szCs w:val="23"/>
        </w:rPr>
      </w:pPr>
    </w:p>
    <w:p w:rsidR="00B26843" w:rsidRDefault="00B26843" w:rsidP="00B26843">
      <w:pPr>
        <w:pStyle w:val="Akapitzlist"/>
        <w:numPr>
          <w:ilvl w:val="0"/>
          <w:numId w:val="1"/>
        </w:numPr>
        <w:jc w:val="both"/>
        <w:rPr>
          <w:sz w:val="22"/>
          <w:szCs w:val="23"/>
        </w:rPr>
      </w:pPr>
      <w:r w:rsidRPr="00AB6715">
        <w:rPr>
          <w:sz w:val="22"/>
          <w:szCs w:val="23"/>
        </w:rPr>
        <w:t xml:space="preserve">potwierdzenie dyrektora o uczęszczaniu rodzeństwa do danego przedszkola;  </w:t>
      </w:r>
    </w:p>
    <w:p w:rsidR="00B26843" w:rsidRPr="00835B9C" w:rsidRDefault="00B26843" w:rsidP="00B26843">
      <w:pPr>
        <w:pStyle w:val="Akapitzlist"/>
        <w:numPr>
          <w:ilvl w:val="0"/>
          <w:numId w:val="1"/>
        </w:numPr>
        <w:jc w:val="both"/>
        <w:rPr>
          <w:sz w:val="22"/>
          <w:szCs w:val="23"/>
        </w:rPr>
      </w:pPr>
      <w:r w:rsidRPr="00835B9C">
        <w:rPr>
          <w:sz w:val="22"/>
          <w:szCs w:val="23"/>
        </w:rPr>
        <w:t>oświadczenie o zatrudnieniu na podstawie umowy o pracę lub oświadczenie o wykonywaniu pracy w ramach umowy cywilno-prawnej lub oświadczenie o prowadzeniu działalności gospodarczej z uwzględnieniem NIP i nr REGON;</w:t>
      </w:r>
    </w:p>
    <w:p w:rsidR="00B26843" w:rsidRDefault="00B26843" w:rsidP="00B26843">
      <w:pPr>
        <w:pStyle w:val="Akapitzlist"/>
        <w:numPr>
          <w:ilvl w:val="0"/>
          <w:numId w:val="1"/>
        </w:numPr>
        <w:jc w:val="both"/>
        <w:rPr>
          <w:sz w:val="22"/>
          <w:szCs w:val="23"/>
        </w:rPr>
      </w:pPr>
      <w:r w:rsidRPr="00A6622A">
        <w:rPr>
          <w:sz w:val="22"/>
          <w:szCs w:val="23"/>
        </w:rPr>
        <w:t xml:space="preserve">oświadczenie o złożeniu w Urzędzie Skarbowym w Sopocie zeznania podatkowego </w:t>
      </w:r>
      <w:r w:rsidRPr="008C755E">
        <w:rPr>
          <w:sz w:val="22"/>
          <w:szCs w:val="23"/>
        </w:rPr>
        <w:t xml:space="preserve">od dochodów osobistych za rok ubiegły; </w:t>
      </w:r>
    </w:p>
    <w:p w:rsidR="00B26843" w:rsidRPr="00A6622A" w:rsidRDefault="00B26843" w:rsidP="00B26843">
      <w:pPr>
        <w:pStyle w:val="Akapitzlist"/>
        <w:numPr>
          <w:ilvl w:val="0"/>
          <w:numId w:val="1"/>
        </w:numPr>
        <w:jc w:val="both"/>
        <w:rPr>
          <w:sz w:val="22"/>
          <w:szCs w:val="23"/>
        </w:rPr>
      </w:pPr>
      <w:r w:rsidRPr="002657A3">
        <w:rPr>
          <w:sz w:val="22"/>
          <w:szCs w:val="23"/>
        </w:rPr>
        <w:t xml:space="preserve">oświadczenie o zamieszkiwaniu kandydata w odległości nieprzekraczającej 3 km </w:t>
      </w:r>
      <w:r>
        <w:rPr>
          <w:sz w:val="22"/>
          <w:szCs w:val="23"/>
        </w:rPr>
        <w:t>od </w:t>
      </w:r>
      <w:r w:rsidRPr="00A6622A">
        <w:rPr>
          <w:sz w:val="22"/>
          <w:szCs w:val="23"/>
        </w:rPr>
        <w:t>publicznego przedszkola, do którego składany jest wniosek;</w:t>
      </w:r>
    </w:p>
    <w:p w:rsidR="00B26843" w:rsidRDefault="00B26843" w:rsidP="00B26843">
      <w:pPr>
        <w:pStyle w:val="Akapitzlist"/>
        <w:numPr>
          <w:ilvl w:val="0"/>
          <w:numId w:val="1"/>
        </w:numPr>
        <w:jc w:val="both"/>
        <w:rPr>
          <w:sz w:val="22"/>
          <w:szCs w:val="23"/>
        </w:rPr>
      </w:pPr>
      <w:r w:rsidRPr="00835B9C">
        <w:rPr>
          <w:sz w:val="22"/>
          <w:szCs w:val="23"/>
        </w:rPr>
        <w:t xml:space="preserve">oświadczenie o posiadaniu obowiązkowych szczepień ochronnych lub oświadczenie o ich długotrwałym odroczeniu ze względów medycznych. Komisja rekrutacyjna </w:t>
      </w:r>
      <w:r>
        <w:rPr>
          <w:sz w:val="22"/>
          <w:szCs w:val="23"/>
        </w:rPr>
        <w:t>posiada</w:t>
      </w:r>
      <w:r w:rsidRPr="00835B9C">
        <w:rPr>
          <w:sz w:val="22"/>
          <w:szCs w:val="23"/>
        </w:rPr>
        <w:t xml:space="preserve"> możliwość weryfikacji  faktu odbycia szczepień poprzez wgląd w kopię karty uodp</w:t>
      </w:r>
      <w:r>
        <w:rPr>
          <w:sz w:val="22"/>
          <w:szCs w:val="23"/>
        </w:rPr>
        <w:t>ornienia lub w książeczkę zdrowia;</w:t>
      </w:r>
    </w:p>
    <w:p w:rsidR="00B26843" w:rsidRDefault="00B26843" w:rsidP="00B26843">
      <w:pPr>
        <w:pStyle w:val="Akapitzlist"/>
        <w:numPr>
          <w:ilvl w:val="0"/>
          <w:numId w:val="1"/>
        </w:numPr>
        <w:jc w:val="both"/>
        <w:rPr>
          <w:sz w:val="22"/>
          <w:szCs w:val="23"/>
        </w:rPr>
      </w:pPr>
      <w:r w:rsidRPr="000B52C6">
        <w:rPr>
          <w:sz w:val="22"/>
          <w:szCs w:val="23"/>
        </w:rPr>
        <w:t>oświadczenie o odbywaniu stacjonarnych studiów wyższych lub doktoranckich</w:t>
      </w:r>
      <w:r>
        <w:rPr>
          <w:sz w:val="22"/>
          <w:szCs w:val="23"/>
        </w:rPr>
        <w:t>.</w:t>
      </w:r>
    </w:p>
    <w:p w:rsidR="00B26843" w:rsidRDefault="00B26843" w:rsidP="00B26843">
      <w:pPr>
        <w:jc w:val="both"/>
        <w:rPr>
          <w:sz w:val="22"/>
          <w:szCs w:val="23"/>
        </w:rPr>
      </w:pPr>
    </w:p>
    <w:p w:rsidR="00B26843" w:rsidRDefault="00B26843" w:rsidP="00B26843">
      <w:pPr>
        <w:jc w:val="both"/>
        <w:rPr>
          <w:sz w:val="22"/>
          <w:szCs w:val="23"/>
        </w:rPr>
      </w:pPr>
    </w:p>
    <w:p w:rsidR="00B26843" w:rsidRDefault="00B26843" w:rsidP="00B26843">
      <w:pPr>
        <w:jc w:val="both"/>
        <w:rPr>
          <w:sz w:val="22"/>
          <w:szCs w:val="23"/>
        </w:rPr>
      </w:pPr>
    </w:p>
    <w:p w:rsidR="00B26843" w:rsidRDefault="00B26843" w:rsidP="00B26843">
      <w:pPr>
        <w:jc w:val="both"/>
        <w:rPr>
          <w:sz w:val="22"/>
          <w:szCs w:val="23"/>
        </w:rPr>
      </w:pPr>
    </w:p>
    <w:p w:rsidR="00B26843" w:rsidRPr="000D012D" w:rsidRDefault="00B26843" w:rsidP="00B26843">
      <w:pPr>
        <w:jc w:val="both"/>
        <w:rPr>
          <w:sz w:val="22"/>
          <w:szCs w:val="23"/>
        </w:rPr>
      </w:pPr>
    </w:p>
    <w:p w:rsidR="00B26843" w:rsidRDefault="00B26843" w:rsidP="00B26843">
      <w:pPr>
        <w:jc w:val="both"/>
        <w:rPr>
          <w:sz w:val="22"/>
          <w:szCs w:val="23"/>
        </w:rPr>
      </w:pPr>
    </w:p>
    <w:p w:rsidR="00B26843" w:rsidRDefault="00B26843" w:rsidP="00B26843">
      <w:pPr>
        <w:jc w:val="both"/>
        <w:rPr>
          <w:sz w:val="22"/>
          <w:szCs w:val="23"/>
        </w:rPr>
      </w:pPr>
    </w:p>
    <w:p w:rsidR="00B26843" w:rsidRDefault="00B26843" w:rsidP="00B26843">
      <w:pPr>
        <w:jc w:val="both"/>
        <w:rPr>
          <w:sz w:val="22"/>
          <w:szCs w:val="23"/>
        </w:rPr>
      </w:pPr>
      <w:r>
        <w:rPr>
          <w:sz w:val="22"/>
          <w:szCs w:val="23"/>
        </w:rPr>
        <w:t xml:space="preserve"> </w:t>
      </w:r>
    </w:p>
    <w:p w:rsidR="00B26843" w:rsidRDefault="00B26843" w:rsidP="00B26843">
      <w:pPr>
        <w:jc w:val="both"/>
        <w:rPr>
          <w:sz w:val="22"/>
          <w:szCs w:val="23"/>
        </w:rPr>
      </w:pPr>
    </w:p>
    <w:p w:rsidR="00B26843" w:rsidRPr="000D012D" w:rsidRDefault="00B26843" w:rsidP="00B26843">
      <w:pPr>
        <w:jc w:val="both"/>
        <w:rPr>
          <w:sz w:val="22"/>
          <w:szCs w:val="23"/>
        </w:rPr>
      </w:pPr>
      <w:r>
        <w:rPr>
          <w:sz w:val="22"/>
          <w:szCs w:val="23"/>
        </w:rPr>
        <w:t>§ 3. Traci moc</w:t>
      </w:r>
      <w:r w:rsidRPr="000D012D">
        <w:t xml:space="preserve"> </w:t>
      </w:r>
      <w:r>
        <w:rPr>
          <w:sz w:val="22"/>
          <w:szCs w:val="23"/>
        </w:rPr>
        <w:t xml:space="preserve">uchwała </w:t>
      </w:r>
      <w:r w:rsidRPr="000D012D">
        <w:rPr>
          <w:sz w:val="22"/>
          <w:szCs w:val="23"/>
        </w:rPr>
        <w:t xml:space="preserve"> Nr XXV/341/2017 Rady Miasta Sopotu z dnia  13 lutego 2017 r. w sprawie określenia kryteriów przyjęcia kandydatów do publicznego przedszkola lub publicznej innej formy wychowania przedszkolnego prowadzonych przez miasto Sopot uwzględnianych na drugim etapie postępowania rekrutacyjnego oraz dla kandydatów zamieszkałych poza obszarem gminy (</w:t>
      </w:r>
      <w:proofErr w:type="spellStart"/>
      <w:r w:rsidRPr="000D012D">
        <w:rPr>
          <w:sz w:val="22"/>
          <w:szCs w:val="23"/>
        </w:rPr>
        <w:t>Dz.Urz.Woj.Pom</w:t>
      </w:r>
      <w:proofErr w:type="spellEnd"/>
      <w:r w:rsidRPr="000D012D">
        <w:rPr>
          <w:sz w:val="22"/>
          <w:szCs w:val="23"/>
        </w:rPr>
        <w:t>. z 2017 r</w:t>
      </w:r>
      <w:r>
        <w:rPr>
          <w:sz w:val="22"/>
          <w:szCs w:val="23"/>
        </w:rPr>
        <w:t>. poz.1218).</w:t>
      </w:r>
    </w:p>
    <w:p w:rsidR="00B26843" w:rsidRDefault="00B26843" w:rsidP="00B26843">
      <w:pPr>
        <w:pStyle w:val="Akapitzlist"/>
        <w:jc w:val="both"/>
        <w:rPr>
          <w:sz w:val="22"/>
          <w:szCs w:val="23"/>
        </w:rPr>
      </w:pPr>
    </w:p>
    <w:p w:rsidR="00B26843" w:rsidRDefault="00B26843" w:rsidP="00B26843">
      <w:pPr>
        <w:jc w:val="both"/>
        <w:rPr>
          <w:sz w:val="22"/>
          <w:szCs w:val="23"/>
        </w:rPr>
      </w:pPr>
      <w:r>
        <w:rPr>
          <w:sz w:val="22"/>
          <w:szCs w:val="23"/>
        </w:rPr>
        <w:t>§ 4.</w:t>
      </w:r>
      <w:r w:rsidRPr="00A6622A">
        <w:rPr>
          <w:sz w:val="22"/>
          <w:szCs w:val="23"/>
        </w:rPr>
        <w:t xml:space="preserve"> </w:t>
      </w:r>
      <w:r>
        <w:rPr>
          <w:sz w:val="22"/>
          <w:szCs w:val="23"/>
        </w:rPr>
        <w:t>Wykonanie uchwały powierza się Prezydentowi Miasta Sopotu.</w:t>
      </w:r>
    </w:p>
    <w:p w:rsidR="00B26843" w:rsidRDefault="00B26843" w:rsidP="00B26843">
      <w:pPr>
        <w:jc w:val="both"/>
        <w:rPr>
          <w:sz w:val="22"/>
          <w:szCs w:val="23"/>
        </w:rPr>
      </w:pPr>
    </w:p>
    <w:p w:rsidR="00B26843" w:rsidRPr="00A6622A" w:rsidRDefault="00B26843" w:rsidP="00B26843">
      <w:pPr>
        <w:jc w:val="both"/>
        <w:rPr>
          <w:sz w:val="22"/>
          <w:szCs w:val="23"/>
        </w:rPr>
      </w:pPr>
      <w:r>
        <w:rPr>
          <w:sz w:val="22"/>
          <w:szCs w:val="23"/>
        </w:rPr>
        <w:t xml:space="preserve">§ 5. </w:t>
      </w:r>
      <w:r w:rsidRPr="008B4C69">
        <w:rPr>
          <w:sz w:val="22"/>
          <w:szCs w:val="22"/>
        </w:rPr>
        <w:t>Uchwała wchodzi w życie po upływie 14 dni od dnia publikacji w Dzienniku Urzędowym Województwa Pomorski</w:t>
      </w:r>
      <w:r>
        <w:rPr>
          <w:sz w:val="22"/>
          <w:szCs w:val="22"/>
        </w:rPr>
        <w:t>ego z mocą obowiązującą od postę</w:t>
      </w:r>
      <w:r w:rsidRPr="008B4C69">
        <w:rPr>
          <w:sz w:val="22"/>
          <w:szCs w:val="22"/>
        </w:rPr>
        <w:t>powania rekrutacyjnego na rok</w:t>
      </w:r>
      <w:r>
        <w:rPr>
          <w:sz w:val="22"/>
          <w:szCs w:val="22"/>
        </w:rPr>
        <w:t xml:space="preserve"> szkolny 2020/2021</w:t>
      </w:r>
      <w:r w:rsidRPr="008B4C69">
        <w:rPr>
          <w:sz w:val="22"/>
          <w:szCs w:val="22"/>
        </w:rPr>
        <w:t>.</w:t>
      </w: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Pr="00757F00" w:rsidRDefault="00B26843" w:rsidP="00B26843">
      <w:pPr>
        <w:rPr>
          <w:szCs w:val="20"/>
        </w:rPr>
      </w:pPr>
    </w:p>
    <w:p w:rsidR="00B26843" w:rsidRPr="00B26843" w:rsidRDefault="00B26843" w:rsidP="00B26843">
      <w:pPr>
        <w:jc w:val="right"/>
        <w:rPr>
          <w:sz w:val="20"/>
          <w:szCs w:val="20"/>
        </w:rPr>
      </w:pPr>
      <w:r w:rsidRPr="00B26843">
        <w:rPr>
          <w:sz w:val="20"/>
          <w:szCs w:val="20"/>
        </w:rPr>
        <w:t>Przewodniczący</w:t>
      </w:r>
    </w:p>
    <w:p w:rsidR="00B26843" w:rsidRPr="00B26843" w:rsidRDefault="00B26843" w:rsidP="00B26843">
      <w:pPr>
        <w:jc w:val="right"/>
        <w:rPr>
          <w:sz w:val="20"/>
          <w:szCs w:val="20"/>
        </w:rPr>
      </w:pPr>
      <w:r w:rsidRPr="00B26843">
        <w:rPr>
          <w:sz w:val="20"/>
          <w:szCs w:val="20"/>
        </w:rPr>
        <w:t>Rady Miasta Sopotu</w:t>
      </w:r>
    </w:p>
    <w:p w:rsidR="00B26843" w:rsidRPr="00B26843" w:rsidRDefault="00B26843" w:rsidP="00B26843">
      <w:pPr>
        <w:jc w:val="right"/>
        <w:rPr>
          <w:sz w:val="20"/>
          <w:szCs w:val="20"/>
        </w:rPr>
      </w:pPr>
    </w:p>
    <w:p w:rsidR="00B26843" w:rsidRPr="00B26843" w:rsidRDefault="00B26843" w:rsidP="00B26843">
      <w:pPr>
        <w:jc w:val="right"/>
        <w:rPr>
          <w:sz w:val="20"/>
          <w:szCs w:val="20"/>
        </w:rPr>
      </w:pPr>
      <w:r w:rsidRPr="00B26843">
        <w:rPr>
          <w:sz w:val="20"/>
          <w:szCs w:val="20"/>
        </w:rPr>
        <w:t xml:space="preserve">/-/ dr inż. </w:t>
      </w:r>
      <w:proofErr w:type="spellStart"/>
      <w:r w:rsidRPr="00B26843">
        <w:rPr>
          <w:sz w:val="20"/>
          <w:szCs w:val="20"/>
        </w:rPr>
        <w:t>Wieczesław</w:t>
      </w:r>
      <w:proofErr w:type="spellEnd"/>
      <w:r w:rsidRPr="00B26843">
        <w:rPr>
          <w:sz w:val="20"/>
          <w:szCs w:val="20"/>
        </w:rPr>
        <w:t xml:space="preserve"> Augustyniak </w:t>
      </w:r>
    </w:p>
    <w:p w:rsidR="00B26843" w:rsidRPr="00757F00" w:rsidRDefault="00B26843" w:rsidP="00B26843">
      <w:pPr>
        <w:rPr>
          <w:sz w:val="20"/>
          <w:szCs w:val="20"/>
        </w:rPr>
      </w:pPr>
    </w:p>
    <w:p w:rsidR="00B26843" w:rsidRPr="00757F00" w:rsidRDefault="00B26843" w:rsidP="00B26843">
      <w:pPr>
        <w:rPr>
          <w:sz w:val="20"/>
          <w:szCs w:val="20"/>
        </w:rPr>
      </w:pPr>
    </w:p>
    <w:p w:rsidR="00B26843" w:rsidRPr="00757F00" w:rsidRDefault="00B26843" w:rsidP="00B26843">
      <w:pPr>
        <w:rPr>
          <w:sz w:val="20"/>
          <w:szCs w:val="20"/>
        </w:rPr>
      </w:pPr>
      <w:r>
        <w:rPr>
          <w:sz w:val="20"/>
          <w:szCs w:val="20"/>
        </w:rPr>
        <w:t xml:space="preserve">   </w:t>
      </w:r>
      <w:r w:rsidRPr="00757F00">
        <w:rPr>
          <w:sz w:val="20"/>
          <w:szCs w:val="20"/>
        </w:rPr>
        <w:t>Radca Prawny</w:t>
      </w:r>
    </w:p>
    <w:p w:rsidR="00B26843" w:rsidRPr="00757F00" w:rsidRDefault="00B26843" w:rsidP="00B26843">
      <w:pPr>
        <w:rPr>
          <w:sz w:val="20"/>
          <w:szCs w:val="20"/>
        </w:rPr>
      </w:pPr>
      <w:r w:rsidRPr="00757F00">
        <w:rPr>
          <w:sz w:val="20"/>
          <w:szCs w:val="20"/>
        </w:rPr>
        <w:t>/-/Jacek Michowski</w:t>
      </w:r>
    </w:p>
    <w:p w:rsidR="00B26843" w:rsidRPr="00757F00" w:rsidRDefault="00B26843" w:rsidP="00B26843">
      <w:pPr>
        <w:rPr>
          <w:sz w:val="20"/>
          <w:szCs w:val="20"/>
        </w:rPr>
      </w:pPr>
    </w:p>
    <w:p w:rsidR="00B26843" w:rsidRPr="00757F00" w:rsidRDefault="00B26843" w:rsidP="00B26843">
      <w:pPr>
        <w:rPr>
          <w:sz w:val="20"/>
          <w:szCs w:val="20"/>
        </w:rPr>
      </w:pPr>
    </w:p>
    <w:p w:rsidR="00B26843" w:rsidRPr="00757F00" w:rsidRDefault="00B26843" w:rsidP="00B26843">
      <w:pPr>
        <w:rPr>
          <w:sz w:val="20"/>
          <w:szCs w:val="20"/>
        </w:rPr>
      </w:pPr>
    </w:p>
    <w:p w:rsidR="00B26843" w:rsidRPr="00757F00" w:rsidRDefault="00B26843" w:rsidP="00B26843">
      <w:pPr>
        <w:rPr>
          <w:sz w:val="20"/>
          <w:szCs w:val="20"/>
        </w:rPr>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pPr>
    </w:p>
    <w:p w:rsidR="00B26843" w:rsidRDefault="00B26843" w:rsidP="00B26843">
      <w:pPr>
        <w:shd w:val="clear" w:color="auto" w:fill="FFFFFF"/>
        <w:jc w:val="both"/>
        <w:rPr>
          <w:sz w:val="22"/>
          <w:szCs w:val="22"/>
        </w:rPr>
      </w:pPr>
    </w:p>
    <w:p w:rsidR="00B26843" w:rsidRDefault="00B26843" w:rsidP="00B26843">
      <w:pPr>
        <w:shd w:val="clear" w:color="auto" w:fill="FFFFFF"/>
        <w:jc w:val="both"/>
        <w:rPr>
          <w:sz w:val="22"/>
          <w:szCs w:val="22"/>
        </w:rPr>
      </w:pPr>
    </w:p>
    <w:p w:rsidR="00B26843" w:rsidRDefault="00B26843" w:rsidP="00B26843">
      <w:pPr>
        <w:shd w:val="clear" w:color="auto" w:fill="FFFFFF"/>
        <w:jc w:val="both"/>
        <w:rPr>
          <w:sz w:val="22"/>
          <w:szCs w:val="22"/>
        </w:rPr>
      </w:pPr>
    </w:p>
    <w:p w:rsidR="00530D29" w:rsidRDefault="00530D29"/>
    <w:sectPr w:rsidR="00530D29" w:rsidSect="00B61C9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1E" w:rsidRDefault="00734C1E" w:rsidP="00B26843">
      <w:r>
        <w:separator/>
      </w:r>
    </w:p>
  </w:endnote>
  <w:endnote w:type="continuationSeparator" w:id="0">
    <w:p w:rsidR="00734C1E" w:rsidRDefault="00734C1E" w:rsidP="00B2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1E" w:rsidRDefault="00734C1E" w:rsidP="00B26843">
      <w:r>
        <w:separator/>
      </w:r>
    </w:p>
  </w:footnote>
  <w:footnote w:type="continuationSeparator" w:id="0">
    <w:p w:rsidR="00734C1E" w:rsidRDefault="00734C1E" w:rsidP="00B26843">
      <w:r>
        <w:continuationSeparator/>
      </w:r>
    </w:p>
  </w:footnote>
  <w:footnote w:id="1">
    <w:p w:rsidR="00B26843" w:rsidRDefault="00B26843" w:rsidP="00B26843">
      <w:pPr>
        <w:pStyle w:val="Tekstprzypisudolnego"/>
      </w:pPr>
      <w:r>
        <w:rPr>
          <w:rStyle w:val="Odwoanieprzypisudolnego"/>
        </w:rPr>
        <w:footnoteRef/>
      </w:r>
      <w:r>
        <w:t xml:space="preserve"> </w:t>
      </w:r>
      <w:r w:rsidRPr="00D27402">
        <w:rPr>
          <w:sz w:val="16"/>
          <w:szCs w:val="16"/>
        </w:rPr>
        <w:t xml:space="preserve">Zmiany tekstu jednolitego wymienionej ustawy zostały ogłoszone w  Dz. U. </w:t>
      </w:r>
      <w:r>
        <w:rPr>
          <w:sz w:val="16"/>
          <w:szCs w:val="16"/>
        </w:rPr>
        <w:t>z 2019 r. poz.1309, 1571, 1696 i 1815.</w:t>
      </w:r>
    </w:p>
  </w:footnote>
  <w:footnote w:id="2">
    <w:p w:rsidR="00B26843" w:rsidRDefault="00B26843" w:rsidP="00B26843">
      <w:pPr>
        <w:pStyle w:val="Tekstprzypisudolnego"/>
      </w:pPr>
      <w:r>
        <w:rPr>
          <w:rStyle w:val="Odwoanieprzypisudolnego"/>
        </w:rPr>
        <w:footnoteRef/>
      </w:r>
      <w:r>
        <w:t xml:space="preserve"> </w:t>
      </w:r>
      <w:r w:rsidRPr="00D27402">
        <w:rPr>
          <w:sz w:val="16"/>
          <w:szCs w:val="16"/>
        </w:rPr>
        <w:t xml:space="preserve">Zmiany tekstu jednolitego wymienionej ustawy zostały ogłoszone w  Dz. U. </w:t>
      </w:r>
      <w:r>
        <w:rPr>
          <w:sz w:val="16"/>
          <w:szCs w:val="16"/>
        </w:rPr>
        <w:t>z 2019 r. poz.</w:t>
      </w:r>
      <w:r w:rsidRPr="00FA712B">
        <w:rPr>
          <w:sz w:val="16"/>
          <w:szCs w:val="16"/>
        </w:rPr>
        <w:t>1078</w:t>
      </w:r>
      <w:r>
        <w:rPr>
          <w:sz w:val="16"/>
          <w:szCs w:val="16"/>
        </w:rPr>
        <w:t xml:space="preserve">, </w:t>
      </w:r>
      <w:r w:rsidRPr="00D57248">
        <w:rPr>
          <w:sz w:val="16"/>
          <w:szCs w:val="16"/>
        </w:rPr>
        <w:t>1680</w:t>
      </w:r>
      <w:r>
        <w:rPr>
          <w:sz w:val="16"/>
          <w:szCs w:val="16"/>
        </w:rPr>
        <w:t xml:space="preserve">, </w:t>
      </w:r>
      <w:r w:rsidRPr="00FA712B">
        <w:rPr>
          <w:sz w:val="16"/>
          <w:szCs w:val="16"/>
        </w:rPr>
        <w:t>1681</w:t>
      </w:r>
      <w:r>
        <w:rPr>
          <w:sz w:val="16"/>
          <w:szCs w:val="16"/>
        </w:rPr>
        <w:t xml:space="preserve">, </w:t>
      </w:r>
      <w:r w:rsidRPr="00FA712B">
        <w:rPr>
          <w:sz w:val="16"/>
          <w:szCs w:val="16"/>
        </w:rPr>
        <w:t>1818</w:t>
      </w:r>
      <w:r>
        <w:rPr>
          <w:sz w:val="16"/>
          <w:szCs w:val="16"/>
        </w:rPr>
        <w:t xml:space="preserve">, </w:t>
      </w:r>
      <w:r w:rsidRPr="00FA712B">
        <w:rPr>
          <w:sz w:val="16"/>
          <w:szCs w:val="16"/>
        </w:rPr>
        <w:t>2197</w:t>
      </w:r>
      <w:r>
        <w:rPr>
          <w:sz w:val="16"/>
          <w:szCs w:val="16"/>
        </w:rPr>
        <w:t xml:space="preserve"> , </w:t>
      </w:r>
      <w:r w:rsidRPr="00FA712B">
        <w:rPr>
          <w:sz w:val="16"/>
          <w:szCs w:val="16"/>
        </w:rPr>
        <w:t>2245</w:t>
      </w:r>
      <w:r>
        <w:rPr>
          <w:sz w:val="16"/>
          <w:szCs w:val="16"/>
        </w:rPr>
        <w:t xml:space="preserve"> i 2248.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D352C"/>
    <w:multiLevelType w:val="hybridMultilevel"/>
    <w:tmpl w:val="29BA4900"/>
    <w:lvl w:ilvl="0" w:tplc="2542D3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2C053CF"/>
    <w:multiLevelType w:val="hybridMultilevel"/>
    <w:tmpl w:val="6DCA4A34"/>
    <w:lvl w:ilvl="0" w:tplc="1D489B1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43"/>
    <w:rsid w:val="002B7E8A"/>
    <w:rsid w:val="002F1F90"/>
    <w:rsid w:val="00530D29"/>
    <w:rsid w:val="007128AB"/>
    <w:rsid w:val="00734C1E"/>
    <w:rsid w:val="008833B5"/>
    <w:rsid w:val="009B6FD4"/>
    <w:rsid w:val="00B26843"/>
    <w:rsid w:val="00EF01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84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F1F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F1F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1F9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F1F90"/>
    <w:rPr>
      <w:rFonts w:asciiTheme="majorHAnsi" w:eastAsiaTheme="majorEastAsia" w:hAnsiTheme="majorHAnsi" w:cstheme="majorBidi"/>
      <w:b/>
      <w:bCs/>
      <w:color w:val="4F81BD" w:themeColor="accent1"/>
      <w:sz w:val="26"/>
      <w:szCs w:val="26"/>
    </w:rPr>
  </w:style>
  <w:style w:type="paragraph" w:styleId="Tytu">
    <w:name w:val="Title"/>
    <w:basedOn w:val="Normalny"/>
    <w:next w:val="Normalny"/>
    <w:link w:val="TytuZnak"/>
    <w:uiPriority w:val="10"/>
    <w:qFormat/>
    <w:rsid w:val="002F1F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F1F90"/>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2F1F90"/>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2F1F90"/>
    <w:rPr>
      <w:rFonts w:asciiTheme="majorHAnsi" w:eastAsiaTheme="majorEastAsia" w:hAnsiTheme="majorHAnsi" w:cstheme="majorBidi"/>
      <w:i/>
      <w:iCs/>
      <w:color w:val="4F81BD" w:themeColor="accent1"/>
      <w:spacing w:val="15"/>
      <w:sz w:val="24"/>
      <w:szCs w:val="24"/>
    </w:rPr>
  </w:style>
  <w:style w:type="paragraph" w:styleId="Bezodstpw">
    <w:name w:val="No Spacing"/>
    <w:uiPriority w:val="1"/>
    <w:qFormat/>
    <w:rsid w:val="002F1F90"/>
    <w:pPr>
      <w:spacing w:after="0" w:line="240" w:lineRule="auto"/>
    </w:pPr>
  </w:style>
  <w:style w:type="paragraph" w:styleId="Akapitzlist">
    <w:name w:val="List Paragraph"/>
    <w:basedOn w:val="Normalny"/>
    <w:uiPriority w:val="34"/>
    <w:qFormat/>
    <w:rsid w:val="002F1F90"/>
    <w:pPr>
      <w:ind w:left="720"/>
      <w:contextualSpacing/>
    </w:pPr>
  </w:style>
  <w:style w:type="character" w:styleId="Odwoanieprzypisudolnego">
    <w:name w:val="footnote reference"/>
    <w:semiHidden/>
    <w:rsid w:val="00B26843"/>
    <w:rPr>
      <w:vertAlign w:val="superscript"/>
    </w:rPr>
  </w:style>
  <w:style w:type="table" w:styleId="Tabela-Siatka">
    <w:name w:val="Table Grid"/>
    <w:basedOn w:val="Standardowy"/>
    <w:uiPriority w:val="59"/>
    <w:rsid w:val="00B2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26843"/>
    <w:rPr>
      <w:sz w:val="20"/>
      <w:szCs w:val="20"/>
    </w:rPr>
  </w:style>
  <w:style w:type="character" w:customStyle="1" w:styleId="TekstprzypisudolnegoZnak">
    <w:name w:val="Tekst przypisu dolnego Znak"/>
    <w:basedOn w:val="Domylnaczcionkaakapitu"/>
    <w:link w:val="Tekstprzypisudolnego"/>
    <w:uiPriority w:val="99"/>
    <w:semiHidden/>
    <w:rsid w:val="00B26843"/>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84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F1F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F1F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1F9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F1F90"/>
    <w:rPr>
      <w:rFonts w:asciiTheme="majorHAnsi" w:eastAsiaTheme="majorEastAsia" w:hAnsiTheme="majorHAnsi" w:cstheme="majorBidi"/>
      <w:b/>
      <w:bCs/>
      <w:color w:val="4F81BD" w:themeColor="accent1"/>
      <w:sz w:val="26"/>
      <w:szCs w:val="26"/>
    </w:rPr>
  </w:style>
  <w:style w:type="paragraph" w:styleId="Tytu">
    <w:name w:val="Title"/>
    <w:basedOn w:val="Normalny"/>
    <w:next w:val="Normalny"/>
    <w:link w:val="TytuZnak"/>
    <w:uiPriority w:val="10"/>
    <w:qFormat/>
    <w:rsid w:val="002F1F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F1F90"/>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2F1F90"/>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2F1F90"/>
    <w:rPr>
      <w:rFonts w:asciiTheme="majorHAnsi" w:eastAsiaTheme="majorEastAsia" w:hAnsiTheme="majorHAnsi" w:cstheme="majorBidi"/>
      <w:i/>
      <w:iCs/>
      <w:color w:val="4F81BD" w:themeColor="accent1"/>
      <w:spacing w:val="15"/>
      <w:sz w:val="24"/>
      <w:szCs w:val="24"/>
    </w:rPr>
  </w:style>
  <w:style w:type="paragraph" w:styleId="Bezodstpw">
    <w:name w:val="No Spacing"/>
    <w:uiPriority w:val="1"/>
    <w:qFormat/>
    <w:rsid w:val="002F1F90"/>
    <w:pPr>
      <w:spacing w:after="0" w:line="240" w:lineRule="auto"/>
    </w:pPr>
  </w:style>
  <w:style w:type="paragraph" w:styleId="Akapitzlist">
    <w:name w:val="List Paragraph"/>
    <w:basedOn w:val="Normalny"/>
    <w:uiPriority w:val="34"/>
    <w:qFormat/>
    <w:rsid w:val="002F1F90"/>
    <w:pPr>
      <w:ind w:left="720"/>
      <w:contextualSpacing/>
    </w:pPr>
  </w:style>
  <w:style w:type="character" w:styleId="Odwoanieprzypisudolnego">
    <w:name w:val="footnote reference"/>
    <w:semiHidden/>
    <w:rsid w:val="00B26843"/>
    <w:rPr>
      <w:vertAlign w:val="superscript"/>
    </w:rPr>
  </w:style>
  <w:style w:type="table" w:styleId="Tabela-Siatka">
    <w:name w:val="Table Grid"/>
    <w:basedOn w:val="Standardowy"/>
    <w:uiPriority w:val="59"/>
    <w:rsid w:val="00B2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26843"/>
    <w:rPr>
      <w:sz w:val="20"/>
      <w:szCs w:val="20"/>
    </w:rPr>
  </w:style>
  <w:style w:type="character" w:customStyle="1" w:styleId="TekstprzypisudolnegoZnak">
    <w:name w:val="Tekst przypisu dolnego Znak"/>
    <w:basedOn w:val="Domylnaczcionkaakapitu"/>
    <w:link w:val="Tekstprzypisudolnego"/>
    <w:uiPriority w:val="99"/>
    <w:semiHidden/>
    <w:rsid w:val="00B2684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2951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Mirosława Piklikiewicz</dc:creator>
  <cp:lastModifiedBy>Kaja Maciołek</cp:lastModifiedBy>
  <cp:revision>2</cp:revision>
  <dcterms:created xsi:type="dcterms:W3CDTF">2020-02-04T07:11:00Z</dcterms:created>
  <dcterms:modified xsi:type="dcterms:W3CDTF">2020-02-04T07:11:00Z</dcterms:modified>
</cp:coreProperties>
</file>