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7" w:rsidRPr="004E042D" w:rsidRDefault="004E042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  <w:r w:rsidRPr="004E042D">
        <w:rPr>
          <w:rFonts w:cs="Arial"/>
          <w:bCs/>
        </w:rPr>
        <w:t>Załącznik do uchwały Rady Miasta Sopotu</w:t>
      </w:r>
    </w:p>
    <w:p w:rsidR="004E042D" w:rsidRPr="004E042D" w:rsidRDefault="004E042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  <w:r w:rsidRPr="004E042D">
        <w:rPr>
          <w:rFonts w:cs="Arial"/>
          <w:bCs/>
        </w:rPr>
        <w:t>Z dnia</w:t>
      </w:r>
      <w:r w:rsidR="00393E1B">
        <w:rPr>
          <w:rFonts w:cs="Arial"/>
          <w:bCs/>
        </w:rPr>
        <w:t xml:space="preserve"> 30 września 2016</w:t>
      </w:r>
    </w:p>
    <w:p w:rsidR="004E042D" w:rsidRPr="004E042D" w:rsidRDefault="004E042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  <w:r w:rsidRPr="004E042D">
        <w:rPr>
          <w:rFonts w:cs="Arial"/>
          <w:bCs/>
        </w:rPr>
        <w:t xml:space="preserve">Nr </w:t>
      </w:r>
      <w:r w:rsidR="00393E1B">
        <w:rPr>
          <w:rFonts w:cs="Arial"/>
          <w:bCs/>
        </w:rPr>
        <w:t>XXII/288/2016</w:t>
      </w:r>
      <w:bookmarkStart w:id="0" w:name="_GoBack"/>
      <w:bookmarkEnd w:id="0"/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4E042D" w:rsidRDefault="004E042D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4E042D" w:rsidRDefault="004E042D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36"/>
          <w:szCs w:val="36"/>
        </w:rPr>
      </w:pPr>
    </w:p>
    <w:p w:rsidR="005C7EC7" w:rsidRPr="005C7EC7" w:rsidRDefault="005C7EC7" w:rsidP="005C7EC7">
      <w:pPr>
        <w:pStyle w:val="Akapitzlist"/>
        <w:numPr>
          <w:ilvl w:val="0"/>
          <w:numId w:val="0"/>
        </w:numPr>
        <w:spacing w:before="240" w:after="200" w:line="360" w:lineRule="auto"/>
        <w:jc w:val="center"/>
        <w:rPr>
          <w:rFonts w:cs="Arial"/>
          <w:b/>
          <w:bCs/>
          <w:sz w:val="40"/>
          <w:szCs w:val="40"/>
        </w:rPr>
      </w:pPr>
      <w:r w:rsidRPr="005C7EC7">
        <w:rPr>
          <w:rFonts w:cs="Arial"/>
          <w:b/>
          <w:bCs/>
          <w:sz w:val="40"/>
          <w:szCs w:val="40"/>
        </w:rPr>
        <w:t>Aktualizacja</w:t>
      </w:r>
    </w:p>
    <w:p w:rsidR="005C7EC7" w:rsidRPr="005C7EC7" w:rsidRDefault="005C7EC7" w:rsidP="005C7EC7">
      <w:pPr>
        <w:pStyle w:val="Akapitzlist"/>
        <w:numPr>
          <w:ilvl w:val="0"/>
          <w:numId w:val="0"/>
        </w:numPr>
        <w:spacing w:before="240" w:after="200" w:line="360" w:lineRule="auto"/>
        <w:jc w:val="center"/>
        <w:rPr>
          <w:rFonts w:cs="Arial"/>
          <w:b/>
          <w:bCs/>
          <w:sz w:val="40"/>
          <w:szCs w:val="40"/>
        </w:rPr>
      </w:pPr>
      <w:r w:rsidRPr="005C7EC7">
        <w:rPr>
          <w:rFonts w:cs="Arial"/>
          <w:b/>
          <w:bCs/>
          <w:sz w:val="40"/>
          <w:szCs w:val="40"/>
        </w:rPr>
        <w:t xml:space="preserve">Planu gospodarki niskoemisyjnej </w:t>
      </w:r>
    </w:p>
    <w:p w:rsidR="005C7EC7" w:rsidRPr="005C7EC7" w:rsidRDefault="005C7EC7" w:rsidP="005C7EC7">
      <w:pPr>
        <w:pStyle w:val="Akapitzlist"/>
        <w:numPr>
          <w:ilvl w:val="0"/>
          <w:numId w:val="0"/>
        </w:numPr>
        <w:spacing w:before="240" w:after="200" w:line="360" w:lineRule="auto"/>
        <w:jc w:val="center"/>
        <w:rPr>
          <w:rFonts w:cs="Arial"/>
          <w:b/>
          <w:bCs/>
          <w:sz w:val="40"/>
          <w:szCs w:val="40"/>
        </w:rPr>
      </w:pPr>
      <w:r w:rsidRPr="005C7EC7">
        <w:rPr>
          <w:rFonts w:cs="Arial"/>
          <w:b/>
          <w:bCs/>
          <w:sz w:val="40"/>
          <w:szCs w:val="40"/>
        </w:rPr>
        <w:t>dla Gminy Miasta Sopotu</w:t>
      </w:r>
    </w:p>
    <w:p w:rsidR="005C7EC7" w:rsidRP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  <w:sz w:val="28"/>
          <w:szCs w:val="28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4E042D" w:rsidRDefault="004E042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Pr="005C7EC7" w:rsidRDefault="005C7EC7" w:rsidP="005C7EC7">
      <w:pPr>
        <w:pStyle w:val="Akapitzlist"/>
        <w:numPr>
          <w:ilvl w:val="0"/>
          <w:numId w:val="0"/>
        </w:numPr>
        <w:spacing w:before="240" w:after="200" w:line="276" w:lineRule="auto"/>
        <w:jc w:val="center"/>
        <w:rPr>
          <w:rFonts w:cs="Arial"/>
          <w:bCs/>
        </w:rPr>
      </w:pPr>
      <w:r w:rsidRPr="005C7EC7">
        <w:rPr>
          <w:rFonts w:cs="Arial"/>
          <w:bCs/>
        </w:rPr>
        <w:t>Wrzesień 2016</w:t>
      </w:r>
    </w:p>
    <w:p w:rsidR="00E338EF" w:rsidRDefault="00E338EF">
      <w:pPr>
        <w:spacing w:after="200" w:line="276" w:lineRule="auto"/>
        <w:ind w:left="0"/>
        <w:rPr>
          <w:rFonts w:cs="Arial"/>
          <w:bCs/>
          <w:szCs w:val="22"/>
          <w:u w:val="single"/>
        </w:rPr>
      </w:pPr>
      <w:r>
        <w:rPr>
          <w:rFonts w:cs="Arial"/>
          <w:bCs/>
          <w:u w:val="single"/>
        </w:rPr>
        <w:br w:type="page"/>
      </w: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210C40" w:rsidRDefault="00210C40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210C40" w:rsidRDefault="00210C40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210C40" w:rsidRDefault="00210C40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177610641"/>
        <w:docPartObj>
          <w:docPartGallery w:val="Table of Contents"/>
          <w:docPartUnique/>
        </w:docPartObj>
      </w:sdtPr>
      <w:sdtEndPr/>
      <w:sdtContent>
        <w:p w:rsidR="00CB2500" w:rsidRPr="00210C40" w:rsidRDefault="00CB2500">
          <w:pPr>
            <w:pStyle w:val="Nagwekspisutreci"/>
            <w:rPr>
              <w:color w:val="000000" w:themeColor="text1"/>
              <w:sz w:val="24"/>
              <w:szCs w:val="24"/>
            </w:rPr>
          </w:pPr>
          <w:r w:rsidRPr="00210C40">
            <w:rPr>
              <w:color w:val="000000" w:themeColor="text1"/>
              <w:sz w:val="24"/>
              <w:szCs w:val="24"/>
            </w:rPr>
            <w:t>Spis treści</w:t>
          </w:r>
        </w:p>
        <w:p w:rsidR="00CB2500" w:rsidRDefault="00CB2500" w:rsidP="00CB2500">
          <w:pPr>
            <w:pStyle w:val="Spistreci1"/>
          </w:pPr>
          <w:r>
            <w:t>1.Wstęp</w:t>
          </w:r>
          <w:r>
            <w:ptab w:relativeTo="margin" w:alignment="right" w:leader="dot"/>
          </w:r>
          <w:r>
            <w:t>1</w:t>
          </w:r>
        </w:p>
        <w:p w:rsidR="00CB2500" w:rsidRDefault="00CB2500" w:rsidP="00CB2500">
          <w:pPr>
            <w:pStyle w:val="Spistreci1"/>
          </w:pPr>
          <w:r>
            <w:t>2.Analiza uwarunkowań wynikających z dokumentów strategicznych</w:t>
          </w:r>
          <w:r>
            <w:ptab w:relativeTo="margin" w:alignment="right" w:leader="dot"/>
          </w:r>
          <w:r w:rsidR="0092015E">
            <w:t>5</w:t>
          </w:r>
        </w:p>
        <w:p w:rsidR="00CB2500" w:rsidRDefault="00CB2500" w:rsidP="00CB2500">
          <w:pPr>
            <w:pStyle w:val="Spistreci2"/>
          </w:pPr>
          <w:r>
            <w:t>2.1.Miedzy narodowe dokumenty strategiczne</w:t>
          </w:r>
          <w:r>
            <w:ptab w:relativeTo="margin" w:alignment="right" w:leader="dot"/>
          </w:r>
          <w:r>
            <w:t>5</w:t>
          </w:r>
        </w:p>
        <w:p w:rsidR="00CB2500" w:rsidRDefault="00CB2500" w:rsidP="00CB2500">
          <w:pPr>
            <w:pStyle w:val="Spistreci3"/>
          </w:pPr>
          <w:r>
            <w:t>2.2.Krajowe dokumenty strategiczne</w:t>
          </w:r>
          <w:r>
            <w:ptab w:relativeTo="margin" w:alignment="right" w:leader="dot"/>
          </w:r>
          <w:r w:rsidR="0092015E">
            <w:t>5</w:t>
          </w:r>
        </w:p>
        <w:p w:rsidR="00CB2500" w:rsidRDefault="00CB2500" w:rsidP="00CB2500">
          <w:pPr>
            <w:pStyle w:val="Spistreci3"/>
          </w:pPr>
          <w:r>
            <w:t>2.3.Wojewódzkie dokumenty strategiczne</w:t>
          </w:r>
          <w:r>
            <w:ptab w:relativeTo="margin" w:alignment="right" w:leader="dot"/>
          </w:r>
          <w:r w:rsidR="0092015E">
            <w:t>5</w:t>
          </w:r>
        </w:p>
        <w:p w:rsidR="00CB2500" w:rsidRDefault="00CB2500" w:rsidP="00CB2500">
          <w:pPr>
            <w:pStyle w:val="Spistreci3"/>
          </w:pPr>
          <w:r>
            <w:t>2.4. Dokumenty strategiczne na poziomie gminy – analiza zgodności celów</w:t>
          </w:r>
          <w:r>
            <w:ptab w:relativeTo="margin" w:alignment="right" w:leader="dot"/>
          </w:r>
          <w:r w:rsidR="0092015E">
            <w:t>5</w:t>
          </w:r>
        </w:p>
        <w:p w:rsidR="00CB2500" w:rsidRDefault="00CB2500" w:rsidP="00CB2500">
          <w:pPr>
            <w:pStyle w:val="Spistreci3"/>
            <w:ind w:left="709"/>
          </w:pPr>
          <w:r>
            <w:t>2.4.1.Dokumenty strategiczne</w:t>
          </w:r>
          <w:r>
            <w:ptab w:relativeTo="margin" w:alignment="right" w:leader="dot"/>
          </w:r>
          <w:r w:rsidR="0092015E">
            <w:t>5</w:t>
          </w:r>
        </w:p>
        <w:p w:rsidR="00CB2500" w:rsidRDefault="00CB2500" w:rsidP="00CB2500">
          <w:pPr>
            <w:pStyle w:val="Spistreci3"/>
            <w:ind w:left="709"/>
          </w:pPr>
          <w:r>
            <w:t>2.4.2.Cele szczegółowe dla Gminy Miasta Sopotu</w:t>
          </w:r>
          <w:r>
            <w:ptab w:relativeTo="margin" w:alignment="right" w:leader="dot"/>
          </w:r>
          <w:r>
            <w:t>6</w:t>
          </w:r>
        </w:p>
        <w:p w:rsidR="00CB2500" w:rsidRDefault="00CB2500" w:rsidP="00CB2500">
          <w:pPr>
            <w:pStyle w:val="Spistreci1"/>
          </w:pPr>
          <w:r>
            <w:t xml:space="preserve">3.Ocena środowiska w Sopocie </w:t>
          </w:r>
          <w:r>
            <w:ptab w:relativeTo="margin" w:alignment="right" w:leader="dot"/>
          </w:r>
          <w:r w:rsidR="0092015E">
            <w:t>7</w:t>
          </w:r>
        </w:p>
        <w:p w:rsidR="00CB2500" w:rsidRDefault="00CB2500" w:rsidP="00CB2500">
          <w:pPr>
            <w:pStyle w:val="Spistreci2"/>
          </w:pPr>
          <w:r>
            <w:t>3.1.Ocena stanu powietrza</w:t>
          </w:r>
          <w:r>
            <w:ptab w:relativeTo="margin" w:alignment="right" w:leader="dot"/>
          </w:r>
          <w:r w:rsidR="0092015E">
            <w:t>7</w:t>
          </w:r>
        </w:p>
        <w:p w:rsidR="00CB2500" w:rsidRDefault="00CB2500" w:rsidP="00CB2500">
          <w:pPr>
            <w:pStyle w:val="Spistreci3"/>
          </w:pPr>
          <w:r>
            <w:t>3.2.Odpady</w:t>
          </w:r>
          <w:r>
            <w:ptab w:relativeTo="margin" w:alignment="right" w:leader="dot"/>
          </w:r>
          <w:r w:rsidR="00F6278A">
            <w:t>9</w:t>
          </w:r>
        </w:p>
        <w:p w:rsidR="00CB2500" w:rsidRDefault="00CB2500" w:rsidP="00CB2500">
          <w:pPr>
            <w:pStyle w:val="Spistreci1"/>
          </w:pPr>
          <w:r>
            <w:t>4.Program działań inwestycyjnych na rzecz poprawy efektywności energetycznej i redukcji emisji gazów cieplarnianych do roku 2020</w:t>
          </w:r>
          <w:r>
            <w:ptab w:relativeTo="margin" w:alignment="right" w:leader="dot"/>
          </w:r>
          <w:r w:rsidR="00F6278A">
            <w:t>10</w:t>
          </w:r>
        </w:p>
        <w:p w:rsidR="00CB2500" w:rsidRDefault="00CB2500" w:rsidP="00CB2500">
          <w:pPr>
            <w:pStyle w:val="Spistreci2"/>
          </w:pPr>
          <w:r>
            <w:t>4.1.Działania inwestycyjne</w:t>
          </w:r>
          <w:r>
            <w:ptab w:relativeTo="margin" w:alignment="right" w:leader="dot"/>
          </w:r>
          <w:r w:rsidR="00F6278A">
            <w:t>10</w:t>
          </w:r>
        </w:p>
        <w:p w:rsidR="00E72BD8" w:rsidRPr="00E72BD8" w:rsidRDefault="00E72BD8" w:rsidP="00E72BD8">
          <w:pPr>
            <w:pStyle w:val="Spistreci2"/>
          </w:pPr>
          <w:r>
            <w:t>4.21.Działania nieinwestycyjne</w:t>
          </w:r>
          <w:r>
            <w:ptab w:relativeTo="margin" w:alignment="right" w:leader="dot"/>
          </w:r>
          <w:r w:rsidR="00F6278A">
            <w:t>10</w:t>
          </w:r>
        </w:p>
        <w:p w:rsidR="00CB2500" w:rsidRDefault="00CB2500" w:rsidP="00CB2500">
          <w:pPr>
            <w:pStyle w:val="Spistreci3"/>
          </w:pPr>
          <w:r>
            <w:t>4.</w:t>
          </w:r>
          <w:r w:rsidR="00E72BD8">
            <w:t>3</w:t>
          </w:r>
          <w:r>
            <w:t>.</w:t>
          </w:r>
          <w:r w:rsidR="0092015E">
            <w:t>Harmonogram rzeczowo-finansowy</w:t>
          </w:r>
          <w:r>
            <w:ptab w:relativeTo="margin" w:alignment="right" w:leader="dot"/>
          </w:r>
          <w:r w:rsidR="00F6278A">
            <w:t>11</w:t>
          </w:r>
        </w:p>
        <w:p w:rsidR="0092015E" w:rsidRDefault="0092015E" w:rsidP="0092015E">
          <w:pPr>
            <w:pStyle w:val="Spistreci3"/>
          </w:pPr>
          <w:r>
            <w:t>4.</w:t>
          </w:r>
          <w:r w:rsidR="00D93674">
            <w:t>4</w:t>
          </w:r>
          <w:r>
            <w:t>.Efekt ekologiczny</w:t>
          </w:r>
          <w:r>
            <w:ptab w:relativeTo="margin" w:alignment="right" w:leader="dot"/>
          </w:r>
          <w:r>
            <w:t>1</w:t>
          </w:r>
          <w:r w:rsidR="00F6278A">
            <w:t>4</w:t>
          </w:r>
        </w:p>
        <w:p w:rsidR="00CB2500" w:rsidRPr="00CB2500" w:rsidRDefault="00CB2500" w:rsidP="00CB2500"/>
        <w:p w:rsidR="00CB2500" w:rsidRPr="00CB2500" w:rsidRDefault="00D052BC" w:rsidP="00CB2500"/>
      </w:sdtContent>
    </w:sdt>
    <w:p w:rsidR="00AA773C" w:rsidRDefault="00AA773C" w:rsidP="00AA773C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AA773C" w:rsidRPr="00AA773C" w:rsidRDefault="00AA773C" w:rsidP="00AA773C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5C7EC7" w:rsidRDefault="005C7EC7" w:rsidP="00AA773C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E338EF" w:rsidRDefault="00E338EF">
      <w:pPr>
        <w:spacing w:after="200" w:line="276" w:lineRule="auto"/>
        <w:ind w:left="0"/>
        <w:rPr>
          <w:rFonts w:cs="Arial"/>
          <w:bCs/>
          <w:szCs w:val="22"/>
          <w:u w:val="single"/>
        </w:rPr>
      </w:pPr>
      <w:r>
        <w:rPr>
          <w:rFonts w:cs="Arial"/>
          <w:bCs/>
          <w:u w:val="single"/>
        </w:rPr>
        <w:br w:type="page"/>
      </w:r>
    </w:p>
    <w:p w:rsidR="000406CF" w:rsidRDefault="000406C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u w:val="single"/>
        </w:rPr>
      </w:pPr>
    </w:p>
    <w:p w:rsidR="000406CF" w:rsidRPr="00B961B3" w:rsidRDefault="000406CF" w:rsidP="00C25AAD">
      <w:pPr>
        <w:pStyle w:val="Akapitzlist"/>
        <w:numPr>
          <w:ilvl w:val="0"/>
          <w:numId w:val="18"/>
        </w:numPr>
        <w:spacing w:before="240" w:after="200" w:line="276" w:lineRule="auto"/>
        <w:ind w:left="426"/>
        <w:jc w:val="left"/>
        <w:rPr>
          <w:rFonts w:cs="Arial"/>
          <w:b/>
          <w:bCs/>
          <w:sz w:val="28"/>
          <w:szCs w:val="28"/>
        </w:rPr>
      </w:pPr>
      <w:r w:rsidRPr="00B961B3">
        <w:rPr>
          <w:rFonts w:cs="Arial"/>
          <w:b/>
          <w:bCs/>
          <w:sz w:val="28"/>
          <w:szCs w:val="28"/>
        </w:rPr>
        <w:t>Wstęp</w:t>
      </w:r>
      <w:r w:rsidR="00AA773C">
        <w:rPr>
          <w:rFonts w:cs="Arial"/>
          <w:b/>
          <w:bCs/>
          <w:sz w:val="28"/>
          <w:szCs w:val="28"/>
        </w:rPr>
        <w:t xml:space="preserve"> </w:t>
      </w:r>
    </w:p>
    <w:p w:rsidR="008957BE" w:rsidRPr="00E338EF" w:rsidRDefault="008957BE" w:rsidP="00E338EF">
      <w:pPr>
        <w:shd w:val="clear" w:color="auto" w:fill="FFFFFF"/>
        <w:jc w:val="both"/>
      </w:pPr>
      <w:r w:rsidRPr="00E338EF">
        <w:t>W grudniu 2010 r. powstały założenia dla Narodowego Programu Rozwoju Gospodarki Niskoemisyjnej (NPRGN), który ma uzasadnienie w realizacji międzynarodowych zobowiązań Polski i realizacji pakietu klimatyczno-energetycznego UE. Z założeń programowych NPRGN wynikają szczegółowe zadania dla gmin:</w:t>
      </w:r>
    </w:p>
    <w:p w:rsidR="008957BE" w:rsidRPr="00E338EF" w:rsidRDefault="008957BE" w:rsidP="00E338EF">
      <w:pPr>
        <w:shd w:val="clear" w:color="auto" w:fill="FFFFFF"/>
        <w:tabs>
          <w:tab w:val="left" w:pos="284"/>
        </w:tabs>
        <w:jc w:val="both"/>
      </w:pPr>
      <w:r w:rsidRPr="00E338EF">
        <w:t>-</w:t>
      </w:r>
      <w:r w:rsidRPr="00E338EF">
        <w:tab/>
        <w:t xml:space="preserve">rozwój niskoemisyjnych źródeł energii, </w:t>
      </w:r>
    </w:p>
    <w:p w:rsidR="008957BE" w:rsidRPr="00E338EF" w:rsidRDefault="008957BE" w:rsidP="00E338EF">
      <w:pPr>
        <w:shd w:val="clear" w:color="auto" w:fill="FFFFFF"/>
        <w:tabs>
          <w:tab w:val="left" w:pos="284"/>
        </w:tabs>
        <w:jc w:val="both"/>
      </w:pPr>
      <w:r w:rsidRPr="00E338EF">
        <w:t>-</w:t>
      </w:r>
      <w:r w:rsidRPr="00E338EF">
        <w:tab/>
        <w:t xml:space="preserve">poprawa efektywności energetycznej, </w:t>
      </w:r>
    </w:p>
    <w:p w:rsidR="008957BE" w:rsidRPr="00E338EF" w:rsidRDefault="008957BE" w:rsidP="00E338EF">
      <w:pPr>
        <w:shd w:val="clear" w:color="auto" w:fill="FFFFFF"/>
        <w:tabs>
          <w:tab w:val="left" w:pos="284"/>
        </w:tabs>
        <w:jc w:val="both"/>
      </w:pPr>
      <w:r w:rsidRPr="00E338EF">
        <w:t>-</w:t>
      </w:r>
      <w:r w:rsidRPr="00E338EF">
        <w:tab/>
        <w:t xml:space="preserve">poprawa efektywności gospodarowania surowcami i materiałami, </w:t>
      </w:r>
    </w:p>
    <w:p w:rsidR="008957BE" w:rsidRPr="00E338EF" w:rsidRDefault="008957BE" w:rsidP="00E338EF">
      <w:pPr>
        <w:shd w:val="clear" w:color="auto" w:fill="FFFFFF"/>
        <w:tabs>
          <w:tab w:val="left" w:pos="284"/>
        </w:tabs>
        <w:jc w:val="both"/>
      </w:pPr>
      <w:r w:rsidRPr="00E338EF">
        <w:t>-</w:t>
      </w:r>
      <w:r w:rsidRPr="00E338EF">
        <w:tab/>
        <w:t>rozwój i wykorzystanie technologii niskoemisyjnych.</w:t>
      </w:r>
    </w:p>
    <w:p w:rsidR="008957BE" w:rsidRPr="00E338EF" w:rsidRDefault="008957BE" w:rsidP="00E338EF">
      <w:pPr>
        <w:shd w:val="clear" w:color="auto" w:fill="FFFFFF"/>
        <w:spacing w:before="120"/>
        <w:jc w:val="both"/>
      </w:pPr>
      <w:r w:rsidRPr="00E338EF">
        <w:t>W roku 2011 Gmina Miasta Sopotu przygotowała całościowe opracowanie pn. Polityka energetyczna Gminy Miasta Sopotu. Opracowanie składa się z trzech części:</w:t>
      </w:r>
    </w:p>
    <w:p w:rsidR="008957BE" w:rsidRPr="00E338EF" w:rsidRDefault="008957BE" w:rsidP="00E338EF">
      <w:pPr>
        <w:numPr>
          <w:ilvl w:val="0"/>
          <w:numId w:val="19"/>
        </w:numPr>
        <w:jc w:val="both"/>
      </w:pPr>
      <w:r w:rsidRPr="00E338EF">
        <w:t>Ocena osiągniętego poziomu redukcji emisji gazów cieplarnianych oraz efektywności energetycznej w Sopocie w stosunku do poziomu z 1990 roku.</w:t>
      </w:r>
    </w:p>
    <w:p w:rsidR="008957BE" w:rsidRPr="00E338EF" w:rsidRDefault="008957BE" w:rsidP="00E338EF">
      <w:pPr>
        <w:numPr>
          <w:ilvl w:val="0"/>
          <w:numId w:val="19"/>
        </w:numPr>
        <w:jc w:val="both"/>
      </w:pPr>
      <w:r w:rsidRPr="00E338EF">
        <w:t>Ocena możliwości wykorzystania odnawialnych źródeł energii w gospodarce energetycznej Gminy Miasta Sopotu, ze szczególnym uwzględnieniem możliwości wykorzystania energii odnawialnej pozyskiwanej na bazie biomasy glonowej.</w:t>
      </w:r>
    </w:p>
    <w:p w:rsidR="008957BE" w:rsidRPr="00E338EF" w:rsidRDefault="008957BE" w:rsidP="00E338EF">
      <w:pPr>
        <w:numPr>
          <w:ilvl w:val="0"/>
          <w:numId w:val="19"/>
        </w:numPr>
        <w:jc w:val="both"/>
      </w:pPr>
      <w:r w:rsidRPr="00E338EF">
        <w:t>Projekt założeń do planu zaopatrzenia w ciepło, energię elektryczną i paliwa gazowe dla Gminy Miasta Sopotu – aktualizacja – przyjęta uchwałą nr XIX/232/2012 Rady Miasta Sopotu z dnia 11 maja 2012 r.</w:t>
      </w:r>
    </w:p>
    <w:p w:rsidR="008957BE" w:rsidRPr="00E338EF" w:rsidRDefault="008957BE" w:rsidP="00E338EF">
      <w:pPr>
        <w:spacing w:before="120"/>
        <w:jc w:val="both"/>
      </w:pPr>
      <w:r w:rsidRPr="00E338EF">
        <w:t>W 2013 roku opracowany został dokument pn. Plan działań na rzecz zrównoważonej energii dla Gminy Miasta Sopotu (SEAP). Wykonanie tego dokumentu było współfinansowane przez UE z Europejskiego Funduszu Rozwoju Regionalnego w ramach Programu Operacyjnego Europa Środkowa w ramach projektu, w którym miasto Sopot było uczestnikiem pod nazwą EnSURE – „EnSURE – Energy Savings in Urban Quarters through Rehabilitation and New Ways of Energy Supply” (Oszczędności energii w obszarach miejskich poprzez rewaloryzację i</w:t>
      </w:r>
      <w:r w:rsidR="00E338EF">
        <w:t> </w:t>
      </w:r>
      <w:r w:rsidRPr="00E338EF">
        <w:t>nowe sposoby zaopatrzenia w energię).</w:t>
      </w:r>
    </w:p>
    <w:p w:rsidR="000406CF" w:rsidRPr="00E338EF" w:rsidRDefault="008957BE" w:rsidP="00E338EF">
      <w:pPr>
        <w:jc w:val="both"/>
      </w:pPr>
      <w:r w:rsidRPr="00E338EF">
        <w:rPr>
          <w:rFonts w:cs="Arial"/>
          <w:bCs/>
        </w:rPr>
        <w:t>Na podstawie powyższych dokumentów oraz w oparciu o wytyczne</w:t>
      </w:r>
      <w:r w:rsidR="009632E4">
        <w:rPr>
          <w:rFonts w:cs="Arial"/>
          <w:bCs/>
        </w:rPr>
        <w:t>,</w:t>
      </w:r>
      <w:r w:rsidRPr="00E338EF">
        <w:rPr>
          <w:rFonts w:cs="Arial"/>
          <w:bCs/>
        </w:rPr>
        <w:t xml:space="preserve"> a także poradniki wskazywane przez Narodowy Fundusz Ochrony Środowiska i Gospodarki Wodnej, w 2014 r. został opracowany </w:t>
      </w:r>
      <w:r w:rsidR="000406CF" w:rsidRPr="00E338EF">
        <w:rPr>
          <w:rFonts w:cs="Arial"/>
          <w:bCs/>
        </w:rPr>
        <w:t xml:space="preserve">Plan Gospodarki Niskoemisyjnej dla Gminy Miasta Sopotu </w:t>
      </w:r>
      <w:r w:rsidR="00EF368F" w:rsidRPr="00E338EF">
        <w:rPr>
          <w:rFonts w:cs="Arial"/>
          <w:bCs/>
        </w:rPr>
        <w:t xml:space="preserve">i następnie przyjęty </w:t>
      </w:r>
      <w:r w:rsidR="00EF368F" w:rsidRPr="00E338EF">
        <w:t xml:space="preserve">uchwałą Rady Miasta Sopotu nr IX/110/2015 z dnia 29 czerwca 2015. </w:t>
      </w:r>
      <w:r w:rsidR="00C944E9" w:rsidRPr="00E338EF">
        <w:t>PGN</w:t>
      </w:r>
      <w:r w:rsidR="009632E4">
        <w:t xml:space="preserve"> </w:t>
      </w:r>
      <w:r w:rsidR="00C944E9" w:rsidRPr="00E338EF">
        <w:t>jest dokumentem uszczegółowiającym cele adekwatnie do obszaru tematycznego objętego planem oraz sposoby osiągnięcia nakreślonych celów, wynikającym z Polityki Energetycznej Gminy Miasta Sopotu. Ponadto</w:t>
      </w:r>
      <w:r w:rsidRPr="00E338EF">
        <w:t xml:space="preserve"> obejmuje ocenę bilansów energetycznych podstawowych systemów energetycznych zlokalizowanych na terenie Sopotu i sektora transportu dla roku bazowego, tj. dla roku 1997, dla stanu aktualnego opracowanego na podstawie danych z roku 2010, a także przedstawia perspektywiczny bilans energetyczny dla roku 2020.</w:t>
      </w:r>
    </w:p>
    <w:p w:rsidR="008957BE" w:rsidRPr="00E338EF" w:rsidRDefault="008957BE" w:rsidP="00E338EF">
      <w:pPr>
        <w:jc w:val="both"/>
      </w:pPr>
    </w:p>
    <w:p w:rsidR="008957BE" w:rsidRPr="00E338EF" w:rsidRDefault="008957BE" w:rsidP="00E338EF">
      <w:pPr>
        <w:shd w:val="clear" w:color="auto" w:fill="FFFFFF"/>
        <w:spacing w:before="120" w:after="120"/>
        <w:jc w:val="both"/>
      </w:pPr>
      <w:r w:rsidRPr="00E338EF">
        <w:t xml:space="preserve">Dla przedmiotowego dokumentu na podstawie ustawy </w:t>
      </w:r>
      <w:r w:rsidRPr="00E338EF">
        <w:rPr>
          <w:bCs/>
        </w:rPr>
        <w:t>z dnia 3 października 2008 r. o udostępnianiu informacji o środowisku i jego ochronie, udziale społeczeństwa w ochronie środowiska oraz o ocenach oddziaływania na środowisko (</w:t>
      </w:r>
      <w:r w:rsidRPr="00E338EF">
        <w:rPr>
          <w:bCs/>
          <w:i/>
        </w:rPr>
        <w:t>t.j. Dz.U. z 2013 r. poz. 1235 ze zm.</w:t>
      </w:r>
      <w:r w:rsidRPr="00E338EF">
        <w:rPr>
          <w:bCs/>
        </w:rPr>
        <w:t xml:space="preserve">) przeprowadzone zostało postępowanie w sprawie strategicznej oceny oddziaływania na środowisko. </w:t>
      </w:r>
    </w:p>
    <w:p w:rsidR="008957BE" w:rsidRPr="00E338EF" w:rsidRDefault="008957BE" w:rsidP="00E338EF">
      <w:pPr>
        <w:tabs>
          <w:tab w:val="left" w:pos="9360"/>
        </w:tabs>
        <w:jc w:val="both"/>
        <w:rPr>
          <w:bCs/>
        </w:rPr>
      </w:pPr>
      <w:r w:rsidRPr="00E338EF">
        <w:t xml:space="preserve">Zgodnie z art. 48 oraz art. 57 ust. 1 pkt 2 i art. 58 ust. 1 pkt 2 </w:t>
      </w:r>
      <w:r w:rsidRPr="00E338EF">
        <w:rPr>
          <w:bCs/>
        </w:rPr>
        <w:t xml:space="preserve">ustawy z dnia 3 października 2008 r. o udostępnianiu informacji o środowisku i jego ochronie, udziale społeczeństwa </w:t>
      </w:r>
      <w:r w:rsidR="009632E4">
        <w:rPr>
          <w:bCs/>
        </w:rPr>
        <w:br/>
      </w:r>
      <w:r w:rsidRPr="00E338EF">
        <w:rPr>
          <w:bCs/>
        </w:rPr>
        <w:t>w ochronie środowiska oraz o ocenach oddziaływania na środowisko (</w:t>
      </w:r>
      <w:r w:rsidRPr="00E338EF">
        <w:rPr>
          <w:bCs/>
          <w:i/>
        </w:rPr>
        <w:t>t.j. Dz.U. z 2013 r. poz. 1235 ze zm.</w:t>
      </w:r>
      <w:r w:rsidRPr="00E338EF">
        <w:rPr>
          <w:bCs/>
        </w:rPr>
        <w:t xml:space="preserve">) Prezydent Miasta Sopotu wystąpił do Regionalnego Dyrektora Ochrony Środowiska w Gdańsku oraz do Pomorskiego Państwowego Wojewódzkiego Inspektora </w:t>
      </w:r>
      <w:r w:rsidRPr="00E338EF">
        <w:rPr>
          <w:bCs/>
        </w:rPr>
        <w:lastRenderedPageBreak/>
        <w:t xml:space="preserve">Sanitarnego w Gdańsku o przychylenie się do wniosku o odstąpienie od konieczności przeprowadzenia strategicznej oceny oddziaływania na środowisko dla </w:t>
      </w:r>
      <w:r w:rsidRPr="00E338EF">
        <w:t>„Planu gospodarki niskoemisyjnej dla Gminy Miasta Sopotu”</w:t>
      </w:r>
      <w:r w:rsidRPr="00E338EF">
        <w:rPr>
          <w:bCs/>
        </w:rPr>
        <w:t>.</w:t>
      </w:r>
    </w:p>
    <w:p w:rsidR="008957BE" w:rsidRPr="00E338EF" w:rsidRDefault="008957BE" w:rsidP="00E338EF">
      <w:pPr>
        <w:tabs>
          <w:tab w:val="left" w:pos="9180"/>
        </w:tabs>
        <w:jc w:val="both"/>
        <w:rPr>
          <w:bCs/>
        </w:rPr>
      </w:pPr>
      <w:r w:rsidRPr="00E338EF">
        <w:rPr>
          <w:bCs/>
        </w:rPr>
        <w:t>Pomorski Państwowy Wojewódzki Inspektor Sanitarny w Gdańsku uzgodnił odstąpienie od przeprowadzenia strategicznej oceny oddziaływania na środowisko dla „Planu gospodarki niskoemisyjnej dla Gminy Miasta Sopotu” – pismo nr SE-NS-80.9022.490.402.2014.WRo z dnia 19 listopada 2014 r.</w:t>
      </w:r>
    </w:p>
    <w:p w:rsidR="008957BE" w:rsidRPr="00E338EF" w:rsidRDefault="008957BE" w:rsidP="00E338EF">
      <w:pPr>
        <w:tabs>
          <w:tab w:val="left" w:pos="9360"/>
        </w:tabs>
        <w:jc w:val="both"/>
        <w:rPr>
          <w:bCs/>
        </w:rPr>
      </w:pPr>
      <w:r w:rsidRPr="00E338EF">
        <w:rPr>
          <w:b/>
          <w:bCs/>
        </w:rPr>
        <w:t xml:space="preserve">Regionalny Dyrektor Ochrony Środowiska w Gdańsku </w:t>
      </w:r>
      <w:r w:rsidRPr="00E338EF">
        <w:rPr>
          <w:bCs/>
        </w:rPr>
        <w:t xml:space="preserve">pismem nr RDOŚ-Gd-WOO.410.51.2014.MCZ.1 z dnia 24 grudnia 2014 r. </w:t>
      </w:r>
      <w:r w:rsidRPr="00E338EF">
        <w:rPr>
          <w:b/>
          <w:bCs/>
        </w:rPr>
        <w:t>stwierdził, że „Plan gospodarki niskoemisyjnej dla Gminy Miasta Sopotu”</w:t>
      </w:r>
      <w:r w:rsidRPr="00E338EF">
        <w:rPr>
          <w:bCs/>
        </w:rPr>
        <w:t xml:space="preserve"> nie zalicza się do dokumentów wymienionych w art. 46 pkt 1, 2 i 3 oraz art. 47 ustawy z dnia 3 października 2008 r. o udostępnianiu informacji o środowisku i jego ochronie, udziale społeczeństwa w ochronie środowiska oraz </w:t>
      </w:r>
      <w:r w:rsidR="009632E4">
        <w:rPr>
          <w:bCs/>
        </w:rPr>
        <w:br/>
      </w:r>
      <w:r w:rsidRPr="00E338EF">
        <w:rPr>
          <w:bCs/>
        </w:rPr>
        <w:t>o ocenach oddziaływania na środowisko (</w:t>
      </w:r>
      <w:r w:rsidRPr="00E338EF">
        <w:rPr>
          <w:bCs/>
          <w:i/>
        </w:rPr>
        <w:t>t.j. Dz.U. z 2013 r. poz. 1235 ze zm</w:t>
      </w:r>
      <w:r w:rsidRPr="00E338EF">
        <w:rPr>
          <w:bCs/>
        </w:rPr>
        <w:t xml:space="preserve">.) i tym samym </w:t>
      </w:r>
      <w:r w:rsidRPr="00E338EF">
        <w:rPr>
          <w:b/>
          <w:bCs/>
        </w:rPr>
        <w:t>nie zalicza się do dokumentów wymagających przeprowadzenia strategicznej oceny oddziaływania na środowisko.</w:t>
      </w:r>
    </w:p>
    <w:p w:rsidR="008957BE" w:rsidRPr="00E338EF" w:rsidRDefault="008957BE" w:rsidP="00E338EF">
      <w:pPr>
        <w:tabs>
          <w:tab w:val="left" w:pos="9360"/>
        </w:tabs>
        <w:jc w:val="both"/>
        <w:rPr>
          <w:bCs/>
        </w:rPr>
      </w:pPr>
      <w:r w:rsidRPr="00E338EF">
        <w:rPr>
          <w:bCs/>
        </w:rPr>
        <w:t>Biorąc pod uwagę powyższe uzgodnienia Prezydent Miasta Sopotu uznał, że „Plan gospodarki niskoemisyjnej dla Gminy Miasta Sopotu” nie zalicza s</w:t>
      </w:r>
      <w:r w:rsidR="00E338EF">
        <w:rPr>
          <w:bCs/>
        </w:rPr>
        <w:t>ię do dokumentów wymienionych w </w:t>
      </w:r>
      <w:r w:rsidRPr="00E338EF">
        <w:rPr>
          <w:bCs/>
        </w:rPr>
        <w:t xml:space="preserve">art. 46 pkt 1, 2 i 3 oraz art. 47 ustawy z dnia 3 października 2008 r. o udostępnianiu informacji o środowisku i jego ochronie, udziale społeczeństwa w ochronie środowiska oraz </w:t>
      </w:r>
      <w:r w:rsidR="009632E4">
        <w:rPr>
          <w:bCs/>
        </w:rPr>
        <w:br/>
      </w:r>
      <w:r w:rsidRPr="00E338EF">
        <w:rPr>
          <w:bCs/>
        </w:rPr>
        <w:t>o ocenach oddziaływania na środowisko (</w:t>
      </w:r>
      <w:r w:rsidRPr="00E338EF">
        <w:rPr>
          <w:bCs/>
          <w:i/>
        </w:rPr>
        <w:t>t.j. Dz.U. z 2013 r. poz. 1235 ze zm.</w:t>
      </w:r>
      <w:r w:rsidRPr="00E338EF">
        <w:rPr>
          <w:bCs/>
        </w:rPr>
        <w:t xml:space="preserve">) i tym samym nie mają zastosowania zapisy art. 48 ww. ustawy dotyczące odstąpienia od przeprowadzenia strategicznej oceny oddziaływania na środowisko. </w:t>
      </w:r>
    </w:p>
    <w:p w:rsidR="008957BE" w:rsidRPr="00E338EF" w:rsidRDefault="008957BE" w:rsidP="00E338EF">
      <w:pPr>
        <w:shd w:val="clear" w:color="auto" w:fill="FFFFFF"/>
        <w:spacing w:after="120"/>
        <w:jc w:val="both"/>
      </w:pPr>
      <w:r w:rsidRPr="00E338EF">
        <w:t xml:space="preserve">Obwieszczeniem nr IOŚ.6220.15.2014.2015.VII.1 z dnia 14 stycznia 2015 r poinformowano społeczeństwo o odstąpieniu od przeprowadzenia strategicznej oceny na środowisko oraz z możliwością zapoznania się z dokumentami dotyczącymi przedmiotowej sprawy.  </w:t>
      </w:r>
    </w:p>
    <w:p w:rsidR="008957BE" w:rsidRPr="00E338EF" w:rsidRDefault="008957BE" w:rsidP="00E338EF">
      <w:pPr>
        <w:tabs>
          <w:tab w:val="left" w:pos="9360"/>
        </w:tabs>
        <w:ind w:right="703"/>
        <w:jc w:val="both"/>
        <w:rPr>
          <w:bCs/>
        </w:rPr>
      </w:pPr>
      <w:r w:rsidRPr="00E338EF">
        <w:rPr>
          <w:bCs/>
        </w:rPr>
        <w:t>Obwieszczenie zostało podane do publicznej wiadomości poprzez umieszczenie:</w:t>
      </w:r>
    </w:p>
    <w:p w:rsidR="008957BE" w:rsidRPr="00E338EF" w:rsidRDefault="008957BE" w:rsidP="00E338EF">
      <w:pPr>
        <w:numPr>
          <w:ilvl w:val="0"/>
          <w:numId w:val="20"/>
        </w:numPr>
        <w:tabs>
          <w:tab w:val="left" w:pos="9360"/>
        </w:tabs>
        <w:ind w:right="703"/>
        <w:jc w:val="both"/>
        <w:rPr>
          <w:bCs/>
        </w:rPr>
      </w:pPr>
      <w:r w:rsidRPr="00E338EF">
        <w:rPr>
          <w:bCs/>
        </w:rPr>
        <w:t xml:space="preserve">w publicznie dostępnym wykazie danych – www.system.sios.pl, </w:t>
      </w:r>
    </w:p>
    <w:p w:rsidR="008957BE" w:rsidRPr="00E338EF" w:rsidRDefault="008957BE" w:rsidP="00E338EF">
      <w:pPr>
        <w:numPr>
          <w:ilvl w:val="0"/>
          <w:numId w:val="20"/>
        </w:numPr>
        <w:tabs>
          <w:tab w:val="left" w:pos="9360"/>
        </w:tabs>
        <w:ind w:right="703"/>
        <w:jc w:val="both"/>
        <w:rPr>
          <w:bCs/>
        </w:rPr>
      </w:pPr>
      <w:r w:rsidRPr="00E338EF">
        <w:rPr>
          <w:bCs/>
        </w:rPr>
        <w:t>na tablicy ogłoszeń Urzędu Miasta Sopotu (ul. Kościuszki 25/27, 81-704 Sopot),</w:t>
      </w:r>
    </w:p>
    <w:p w:rsidR="008957BE" w:rsidRPr="00E338EF" w:rsidRDefault="008957BE" w:rsidP="00E338EF">
      <w:pPr>
        <w:numPr>
          <w:ilvl w:val="0"/>
          <w:numId w:val="20"/>
        </w:numPr>
        <w:tabs>
          <w:tab w:val="left" w:pos="9180"/>
        </w:tabs>
        <w:ind w:right="923"/>
        <w:jc w:val="both"/>
      </w:pPr>
      <w:r w:rsidRPr="00E338EF">
        <w:t xml:space="preserve">na stronie internetowej Urzędu Miasta Sopotu: </w:t>
      </w:r>
      <w:hyperlink r:id="rId9" w:history="1">
        <w:r w:rsidRPr="00E338EF">
          <w:rPr>
            <w:rStyle w:val="Hipercze"/>
          </w:rPr>
          <w:t>www.sopot.pl</w:t>
        </w:r>
      </w:hyperlink>
      <w:r w:rsidRPr="00E338EF">
        <w:t xml:space="preserve"> w zakładce Biuletyn </w:t>
      </w:r>
    </w:p>
    <w:p w:rsidR="008957BE" w:rsidRPr="00E338EF" w:rsidRDefault="008957BE" w:rsidP="00E338EF">
      <w:pPr>
        <w:shd w:val="clear" w:color="auto" w:fill="FFFFFF"/>
        <w:spacing w:after="120"/>
        <w:jc w:val="both"/>
      </w:pPr>
      <w:r w:rsidRPr="00E338EF">
        <w:t>W wymaganym terminie (14 dni) nie wniesiono żadnych uwag.</w:t>
      </w:r>
    </w:p>
    <w:p w:rsidR="008957BE" w:rsidRPr="00E338EF" w:rsidRDefault="008957BE" w:rsidP="00E338EF">
      <w:pPr>
        <w:jc w:val="both"/>
      </w:pPr>
    </w:p>
    <w:p w:rsidR="00565AEA" w:rsidRPr="00E338EF" w:rsidRDefault="00565AEA" w:rsidP="00E338EF">
      <w:pPr>
        <w:jc w:val="both"/>
      </w:pPr>
      <w:r w:rsidRPr="00E338EF">
        <w:t>Gmina Miasta Sopotu jest członkiem Stowarzyszenia Obszar Metropolitalny Gdańsk – Gdynia – Sopot, zwany dalej OMG-G-S. Stowarzyszenie w roku 2015 zleciło wykonanie Planu Gospodarki Niskoemisyjnej dla OMG-G-S i następnie Walne Zgromadzenie Członków Stowarzyszenia OMG-G-S podjęło w dniu 25.01.2016r</w:t>
      </w:r>
      <w:r w:rsidR="00E338EF">
        <w:t>. uchwałę w sprawie przyjęcia i </w:t>
      </w:r>
      <w:r w:rsidRPr="00E338EF">
        <w:t xml:space="preserve">wdrożenia Planu Gospodarki Niskoemisyjnej dla OMG-G-S. </w:t>
      </w:r>
    </w:p>
    <w:p w:rsidR="007911FB" w:rsidRPr="00E338EF" w:rsidRDefault="007911FB" w:rsidP="00E338EF">
      <w:pPr>
        <w:jc w:val="both"/>
        <w:rPr>
          <w:rFonts w:cs="Arial"/>
          <w:color w:val="5F6062"/>
        </w:rPr>
      </w:pPr>
    </w:p>
    <w:p w:rsidR="006A3612" w:rsidRPr="00E338EF" w:rsidRDefault="007911FB" w:rsidP="00E338EF">
      <w:pPr>
        <w:jc w:val="both"/>
        <w:rPr>
          <w:color w:val="000000" w:themeColor="text1"/>
        </w:rPr>
      </w:pPr>
      <w:r w:rsidRPr="00E338EF">
        <w:rPr>
          <w:rFonts w:cs="Arial"/>
          <w:color w:val="000000" w:themeColor="text1"/>
        </w:rPr>
        <w:t xml:space="preserve">W obecnej perspektywie finansowej UE pojawił się </w:t>
      </w:r>
      <w:r w:rsidR="006A3612" w:rsidRPr="00E338EF">
        <w:rPr>
          <w:rFonts w:cs="Arial"/>
          <w:color w:val="000000" w:themeColor="text1"/>
        </w:rPr>
        <w:t xml:space="preserve">nowym instrumentem </w:t>
      </w:r>
      <w:r w:rsidRPr="00E338EF">
        <w:rPr>
          <w:rFonts w:cs="Arial"/>
          <w:color w:val="000000" w:themeColor="text1"/>
        </w:rPr>
        <w:t xml:space="preserve">rozwoju terytorialnego tzw. ZIT - </w:t>
      </w:r>
      <w:r w:rsidR="006A3612" w:rsidRPr="00E338EF">
        <w:rPr>
          <w:rFonts w:cs="Arial"/>
          <w:color w:val="000000" w:themeColor="text1"/>
        </w:rPr>
        <w:t>Zintegrowane Inwestycje Terytorialne</w:t>
      </w:r>
      <w:r w:rsidRPr="00E338EF">
        <w:rPr>
          <w:rFonts w:cs="Arial"/>
          <w:color w:val="000000" w:themeColor="text1"/>
        </w:rPr>
        <w:t xml:space="preserve">. </w:t>
      </w:r>
      <w:r w:rsidRPr="00E338EF">
        <w:rPr>
          <w:rStyle w:val="tgc"/>
          <w:rFonts w:cs="Arial"/>
          <w:color w:val="000000" w:themeColor="text1"/>
        </w:rPr>
        <w:t>Przy pomocy tego instrumentu, partnerstwa jednostek samorządu terytorialnego</w:t>
      </w:r>
      <w:r w:rsidR="00E338EF">
        <w:rPr>
          <w:rStyle w:val="tgc"/>
          <w:rFonts w:cs="Arial"/>
          <w:color w:val="000000" w:themeColor="text1"/>
        </w:rPr>
        <w:t xml:space="preserve"> miast i obszarów powiązanych z </w:t>
      </w:r>
      <w:r w:rsidRPr="00E338EF">
        <w:rPr>
          <w:rStyle w:val="tgc"/>
          <w:rFonts w:cs="Arial"/>
          <w:color w:val="000000" w:themeColor="text1"/>
        </w:rPr>
        <w:t>nimi funkcjonalnie mogą realizować wspólne cele i wskazują przedsięwzięcia, łączące działania finansowane z Europejskiego Fundusz</w:t>
      </w:r>
      <w:r w:rsidR="00E338EF">
        <w:rPr>
          <w:rStyle w:val="tgc"/>
          <w:rFonts w:cs="Arial"/>
          <w:color w:val="000000" w:themeColor="text1"/>
        </w:rPr>
        <w:t>u Rozwoju Regionalnego (EFRR) i </w:t>
      </w:r>
      <w:r w:rsidRPr="00E338EF">
        <w:rPr>
          <w:rStyle w:val="tgc"/>
          <w:rFonts w:cs="Arial"/>
          <w:color w:val="000000" w:themeColor="text1"/>
        </w:rPr>
        <w:t>Europejskiego Funduszu Społecznego (EFS).</w:t>
      </w:r>
    </w:p>
    <w:p w:rsidR="007911FB" w:rsidRPr="00E338EF" w:rsidRDefault="007911FB" w:rsidP="00E338EF">
      <w:pPr>
        <w:pStyle w:val="NormalnyWeb"/>
        <w:shd w:val="clear" w:color="auto" w:fill="FFFFFF"/>
        <w:ind w:left="284"/>
        <w:jc w:val="both"/>
        <w:rPr>
          <w:rFonts w:ascii="Garamond" w:hAnsi="Garamond" w:cs="Arial"/>
          <w:color w:val="000000" w:themeColor="text1"/>
        </w:rPr>
      </w:pPr>
      <w:r w:rsidRPr="00E338EF">
        <w:rPr>
          <w:rFonts w:ascii="Garamond" w:hAnsi="Garamond" w:cs="Arial"/>
          <w:color w:val="000000" w:themeColor="text1"/>
        </w:rPr>
        <w:t xml:space="preserve">Związek Zintegrowanych Inwestycji Terytorialnych województwa pomorskiego działa </w:t>
      </w:r>
      <w:r w:rsidR="009632E4">
        <w:rPr>
          <w:rFonts w:ascii="Garamond" w:hAnsi="Garamond" w:cs="Arial"/>
          <w:color w:val="000000" w:themeColor="text1"/>
        </w:rPr>
        <w:br/>
      </w:r>
      <w:r w:rsidRPr="00E338EF">
        <w:rPr>
          <w:rFonts w:ascii="Garamond" w:hAnsi="Garamond" w:cs="Arial"/>
          <w:color w:val="000000" w:themeColor="text1"/>
        </w:rPr>
        <w:t xml:space="preserve">w formie stowarzyszenia gmin i powiatów, tworzących jednorodny przestrzennie </w:t>
      </w:r>
      <w:r w:rsidR="009632E4">
        <w:rPr>
          <w:rFonts w:ascii="Garamond" w:hAnsi="Garamond" w:cs="Arial"/>
          <w:color w:val="000000" w:themeColor="text1"/>
        </w:rPr>
        <w:br/>
      </w:r>
      <w:r w:rsidRPr="00E338EF">
        <w:rPr>
          <w:rFonts w:ascii="Garamond" w:hAnsi="Garamond" w:cs="Arial"/>
          <w:color w:val="000000" w:themeColor="text1"/>
        </w:rPr>
        <w:t xml:space="preserve">i funkcjonalnie obszar metropolitalny. Związek ZIT pełni przede wszystkim funkcję Instytucji Pośredniczącej (IP) dla Regionalnego Programu Operacyjnego Województwa Pomorskiego na lata 2014-2020 (RPO WP 2014-2020). Aby pozyskać dedykowane dla ZIT środki, Związek </w:t>
      </w:r>
      <w:r w:rsidRPr="00E338EF">
        <w:rPr>
          <w:rFonts w:ascii="Garamond" w:hAnsi="Garamond" w:cs="Arial"/>
          <w:color w:val="000000" w:themeColor="text1"/>
        </w:rPr>
        <w:lastRenderedPageBreak/>
        <w:t>opracowuje strategię określającą cele, kierunki rozwoju, zasady współpracy oraz najważniejsze przedsięwzięcia do realizacji wynikające z analizy barier i potencjałów rozwojowych.</w:t>
      </w:r>
    </w:p>
    <w:p w:rsidR="007911FB" w:rsidRPr="00E338EF" w:rsidRDefault="007911FB" w:rsidP="00E338EF">
      <w:pPr>
        <w:pStyle w:val="NormalnyWeb"/>
        <w:shd w:val="clear" w:color="auto" w:fill="FFFFFF"/>
        <w:ind w:left="284"/>
        <w:jc w:val="both"/>
        <w:rPr>
          <w:rFonts w:ascii="Garamond" w:hAnsi="Garamond" w:cs="Arial"/>
          <w:color w:val="000000" w:themeColor="text1"/>
        </w:rPr>
      </w:pPr>
      <w:r w:rsidRPr="00E338EF">
        <w:rPr>
          <w:rFonts w:ascii="Garamond" w:hAnsi="Garamond" w:cs="Arial"/>
          <w:color w:val="000000" w:themeColor="text1"/>
        </w:rPr>
        <w:t>Podstawowe narzędzie realizacji Strategii ZIT oraz jedno z narzędzi realizacji Strategii Rozwoju Województwa Pomorskiego 2020 (SRWP) stanowi Regionalny Program Operacyjny Województwa Pomorskiego na lata 2014-2020 (RPO WP). Strategia ZIT określa cele, kierunki rozwoju, zasady współpracy oraz najważniejsze przedsięwzi</w:t>
      </w:r>
      <w:r w:rsidR="00E338EF">
        <w:rPr>
          <w:rFonts w:ascii="Garamond" w:hAnsi="Garamond" w:cs="Arial"/>
          <w:color w:val="000000" w:themeColor="text1"/>
        </w:rPr>
        <w:t>ęcia do realizacji wynikające z </w:t>
      </w:r>
      <w:r w:rsidRPr="00E338EF">
        <w:rPr>
          <w:rFonts w:ascii="Garamond" w:hAnsi="Garamond" w:cs="Arial"/>
          <w:color w:val="000000" w:themeColor="text1"/>
        </w:rPr>
        <w:t>analizy barier i potencjałów rozwojowych.</w:t>
      </w:r>
      <w:r w:rsidR="0003017E">
        <w:rPr>
          <w:rFonts w:ascii="Garamond" w:hAnsi="Garamond" w:cs="Arial"/>
          <w:color w:val="000000" w:themeColor="text1"/>
        </w:rPr>
        <w:t xml:space="preserve"> Strategia ZIT została przyjęta uchwał</w:t>
      </w:r>
      <w:r w:rsidR="00E023C4">
        <w:rPr>
          <w:rFonts w:ascii="Garamond" w:hAnsi="Garamond" w:cs="Arial"/>
          <w:color w:val="000000" w:themeColor="text1"/>
        </w:rPr>
        <w:t>ą nr </w:t>
      </w:r>
      <w:r w:rsidR="0003017E">
        <w:rPr>
          <w:rFonts w:ascii="Garamond" w:hAnsi="Garamond" w:cs="Arial"/>
          <w:color w:val="000000" w:themeColor="text1"/>
        </w:rPr>
        <w:t xml:space="preserve">42/2016 Walnego Zgromadzenia Członków OMG-G-S z dnia 15  lutego 2016r. </w:t>
      </w:r>
    </w:p>
    <w:p w:rsidR="006A3612" w:rsidRPr="00E338EF" w:rsidRDefault="0003017E" w:rsidP="00E338EF">
      <w:pPr>
        <w:jc w:val="both"/>
      </w:pPr>
      <w:r>
        <w:t>Następnie p</w:t>
      </w:r>
      <w:r w:rsidR="008957BE" w:rsidRPr="00E338EF">
        <w:t xml:space="preserve">rzyjęcie przez </w:t>
      </w:r>
      <w:r w:rsidR="006A3612" w:rsidRPr="00E338EF">
        <w:t xml:space="preserve">Walne Zgromadzenie Członków </w:t>
      </w:r>
      <w:r w:rsidR="008957BE" w:rsidRPr="00E338EF">
        <w:t>OMG-G-S</w:t>
      </w:r>
      <w:r w:rsidR="00447FBA" w:rsidRPr="00E338EF">
        <w:t xml:space="preserve"> w </w:t>
      </w:r>
      <w:r>
        <w:t xml:space="preserve">dniu 25 stycznia </w:t>
      </w:r>
      <w:r w:rsidR="00447FBA" w:rsidRPr="00E338EF">
        <w:t xml:space="preserve"> 2016 r. </w:t>
      </w:r>
      <w:r>
        <w:t xml:space="preserve">uchwały nr 41/2016 w sprawie przyjęcia i wdrożenia </w:t>
      </w:r>
      <w:r w:rsidRPr="0003017E">
        <w:rPr>
          <w:i/>
        </w:rPr>
        <w:t>Programu Gospodarki Niskoemisyjnej dla Obszaru Metropolitalnego Gdańsk-Gdynia-Sopot</w:t>
      </w:r>
      <w:r w:rsidR="006A3612" w:rsidRPr="00E338EF">
        <w:t xml:space="preserve"> oraz przyjęcie na szczeblu krajowym </w:t>
      </w:r>
      <w:r w:rsidR="00A32CB9" w:rsidRPr="00E338EF">
        <w:t>uszczegółow</w:t>
      </w:r>
      <w:r w:rsidR="006A3612" w:rsidRPr="00E338EF">
        <w:t>ionych</w:t>
      </w:r>
      <w:r w:rsidR="00E338EF">
        <w:t xml:space="preserve"> dokumentów programowych w </w:t>
      </w:r>
      <w:r w:rsidR="00A32CB9" w:rsidRPr="00E338EF">
        <w:t>zakresie wskazania obszarów, podmiotów i projektów,</w:t>
      </w:r>
      <w:r w:rsidR="00E338EF">
        <w:t xml:space="preserve"> które będą mogły się ubiegać o </w:t>
      </w:r>
      <w:r w:rsidR="00A32CB9" w:rsidRPr="00E338EF">
        <w:t xml:space="preserve">dofinansowanie w nowej perspektywie finansowej </w:t>
      </w:r>
      <w:r>
        <w:t xml:space="preserve">w obszarze energetyki, </w:t>
      </w:r>
      <w:r w:rsidR="008957BE" w:rsidRPr="00E338EF">
        <w:t xml:space="preserve">pozwoliło </w:t>
      </w:r>
      <w:r w:rsidR="00E338EF">
        <w:t>na weryfikację przyjętego w </w:t>
      </w:r>
      <w:r w:rsidR="00A32CB9" w:rsidRPr="00E338EF">
        <w:t>PGN dla miasta Sopotu programu działań na rzecz popra</w:t>
      </w:r>
      <w:r w:rsidR="00E338EF">
        <w:t>wy efektywności energetycznej i </w:t>
      </w:r>
      <w:r w:rsidR="00A32CB9" w:rsidRPr="00E338EF">
        <w:t>redukcji emisji gazów cieplarnianych w latach 2014-2020</w:t>
      </w:r>
      <w:r w:rsidR="0085366A" w:rsidRPr="00E338EF">
        <w:t xml:space="preserve">. </w:t>
      </w:r>
    </w:p>
    <w:p w:rsidR="008957BE" w:rsidRPr="00E338EF" w:rsidRDefault="0085366A" w:rsidP="00E338EF">
      <w:pPr>
        <w:jc w:val="both"/>
      </w:pPr>
      <w:r w:rsidRPr="00E338EF">
        <w:t>Wyniki tej weryfikacji zostały ujęte w niniejszej aktualizacji Planu Gospodarki Niskoemisyjnej dla Miasta Sopotu.</w:t>
      </w:r>
      <w:r w:rsidR="00A32CB9" w:rsidRPr="00E338EF">
        <w:t xml:space="preserve"> </w:t>
      </w:r>
    </w:p>
    <w:p w:rsidR="007911FB" w:rsidRPr="007911FB" w:rsidRDefault="007911FB" w:rsidP="00EF368F">
      <w:pPr>
        <w:jc w:val="both"/>
        <w:rPr>
          <w:sz w:val="22"/>
          <w:szCs w:val="22"/>
        </w:rPr>
      </w:pPr>
    </w:p>
    <w:p w:rsidR="000406CF" w:rsidRPr="00B961B3" w:rsidRDefault="000406CF" w:rsidP="00C25AAD">
      <w:pPr>
        <w:pStyle w:val="Akapitzlist"/>
        <w:numPr>
          <w:ilvl w:val="0"/>
          <w:numId w:val="18"/>
        </w:numPr>
        <w:spacing w:before="240" w:after="200" w:line="276" w:lineRule="auto"/>
        <w:ind w:left="426"/>
        <w:jc w:val="left"/>
        <w:rPr>
          <w:rFonts w:cs="Arial"/>
          <w:b/>
          <w:bCs/>
          <w:sz w:val="28"/>
          <w:szCs w:val="28"/>
        </w:rPr>
      </w:pPr>
      <w:r w:rsidRPr="00B961B3">
        <w:rPr>
          <w:rFonts w:cs="Arial"/>
          <w:b/>
          <w:bCs/>
          <w:sz w:val="28"/>
          <w:szCs w:val="28"/>
        </w:rPr>
        <w:t>Analiza uwarunkowań wynikających z dokumentów strategicznych</w:t>
      </w:r>
    </w:p>
    <w:p w:rsidR="00C25AAD" w:rsidRDefault="00C25AAD" w:rsidP="00C25AAD">
      <w:pPr>
        <w:pStyle w:val="Akapitzlist"/>
        <w:numPr>
          <w:ilvl w:val="0"/>
          <w:numId w:val="0"/>
        </w:numPr>
        <w:spacing w:before="240" w:after="200" w:line="276" w:lineRule="auto"/>
        <w:ind w:left="1077"/>
        <w:outlineLvl w:val="1"/>
        <w:rPr>
          <w:rFonts w:cs="Arial"/>
          <w:b/>
          <w:bCs/>
          <w:u w:val="single"/>
        </w:rPr>
      </w:pPr>
    </w:p>
    <w:p w:rsidR="00C944E9" w:rsidRPr="00C25AAD" w:rsidRDefault="00C944E9" w:rsidP="00DD6BC9">
      <w:pPr>
        <w:pStyle w:val="Akapitzlist"/>
        <w:numPr>
          <w:ilvl w:val="1"/>
          <w:numId w:val="18"/>
        </w:numPr>
        <w:spacing w:before="240" w:after="200" w:line="276" w:lineRule="auto"/>
        <w:ind w:left="1077"/>
        <w:outlineLvl w:val="1"/>
        <w:rPr>
          <w:rFonts w:cs="Arial"/>
          <w:b/>
          <w:bCs/>
          <w:u w:val="single"/>
        </w:rPr>
      </w:pPr>
      <w:bookmarkStart w:id="1" w:name="_Toc460852838"/>
      <w:bookmarkStart w:id="2" w:name="_Toc460853118"/>
      <w:r w:rsidRPr="00C25AAD">
        <w:rPr>
          <w:rFonts w:cs="Arial"/>
          <w:b/>
          <w:bCs/>
          <w:u w:val="single"/>
        </w:rPr>
        <w:t>Międzynarodowe dokumenty strategiczne</w:t>
      </w:r>
      <w:bookmarkEnd w:id="1"/>
      <w:bookmarkEnd w:id="2"/>
      <w:r w:rsidRPr="00C25AAD">
        <w:rPr>
          <w:rFonts w:cs="Arial"/>
          <w:b/>
          <w:bCs/>
          <w:u w:val="single"/>
        </w:rPr>
        <w:t xml:space="preserve"> </w:t>
      </w:r>
    </w:p>
    <w:p w:rsidR="00107B9D" w:rsidRDefault="00107B9D" w:rsidP="00107B9D">
      <w:pPr>
        <w:pStyle w:val="Akapitzlist"/>
        <w:numPr>
          <w:ilvl w:val="0"/>
          <w:numId w:val="0"/>
        </w:numPr>
        <w:spacing w:before="240" w:after="200" w:line="276" w:lineRule="auto"/>
        <w:ind w:left="284"/>
        <w:rPr>
          <w:rFonts w:cs="Arial"/>
          <w:bCs/>
        </w:rPr>
      </w:pPr>
      <w:r>
        <w:rPr>
          <w:rFonts w:cs="Arial"/>
          <w:bCs/>
        </w:rPr>
        <w:t>Analiza uwarunkowań wynikających z międzynarodowych dokumentów strategicznych znajduje się w rozdziale 5.2 „</w:t>
      </w:r>
      <w:r w:rsidRPr="00CF7107">
        <w:rPr>
          <w:rFonts w:cs="Arial"/>
          <w:bCs/>
          <w:i/>
        </w:rPr>
        <w:t>Programu Gospodarki Niskoemisyjnej dla Obszaru Metropolitalnego Gdańsk-Gdynia-Sopot</w:t>
      </w:r>
      <w:r w:rsidR="00CF7107">
        <w:rPr>
          <w:rFonts w:cs="Arial"/>
          <w:bCs/>
        </w:rPr>
        <w:t>”</w:t>
      </w:r>
      <w:r w:rsidR="00E4604C">
        <w:rPr>
          <w:rFonts w:cs="Arial"/>
          <w:bCs/>
        </w:rPr>
        <w:t>.</w:t>
      </w:r>
    </w:p>
    <w:p w:rsidR="00E4604C" w:rsidRDefault="00E4604C" w:rsidP="00107B9D">
      <w:pPr>
        <w:pStyle w:val="Akapitzlist"/>
        <w:numPr>
          <w:ilvl w:val="0"/>
          <w:numId w:val="0"/>
        </w:numPr>
        <w:spacing w:before="240" w:after="200" w:line="276" w:lineRule="auto"/>
        <w:ind w:left="284"/>
        <w:rPr>
          <w:rFonts w:cs="Arial"/>
          <w:bCs/>
        </w:rPr>
      </w:pPr>
    </w:p>
    <w:p w:rsidR="00196CF4" w:rsidRPr="00C25AAD" w:rsidRDefault="00196CF4" w:rsidP="00CF7107">
      <w:pPr>
        <w:pStyle w:val="Akapitzlist"/>
        <w:numPr>
          <w:ilvl w:val="1"/>
          <w:numId w:val="18"/>
        </w:numPr>
        <w:spacing w:before="240" w:after="200" w:line="276" w:lineRule="auto"/>
        <w:ind w:left="1077"/>
        <w:rPr>
          <w:rFonts w:cs="Arial"/>
          <w:b/>
          <w:bCs/>
          <w:u w:val="single"/>
        </w:rPr>
      </w:pPr>
      <w:r w:rsidRPr="00C25AAD">
        <w:rPr>
          <w:rFonts w:cs="Arial"/>
          <w:b/>
          <w:bCs/>
          <w:u w:val="single"/>
        </w:rPr>
        <w:t xml:space="preserve">Krajowe dokumenty strategiczne </w:t>
      </w:r>
    </w:p>
    <w:p w:rsidR="00E4604C" w:rsidRDefault="00E4604C" w:rsidP="00E4604C">
      <w:pPr>
        <w:pStyle w:val="Akapitzlist"/>
        <w:numPr>
          <w:ilvl w:val="0"/>
          <w:numId w:val="0"/>
        </w:numPr>
        <w:spacing w:before="240" w:after="200" w:line="276" w:lineRule="auto"/>
        <w:ind w:left="284"/>
        <w:rPr>
          <w:rFonts w:cs="Arial"/>
          <w:bCs/>
        </w:rPr>
      </w:pPr>
      <w:r>
        <w:rPr>
          <w:rFonts w:cs="Arial"/>
          <w:bCs/>
        </w:rPr>
        <w:t xml:space="preserve">Analiza uwarunkowań wynikających z krajowych dokumentów strategicznych znajduje się </w:t>
      </w:r>
      <w:r w:rsidR="009632E4">
        <w:rPr>
          <w:rFonts w:cs="Arial"/>
          <w:bCs/>
        </w:rPr>
        <w:br/>
      </w:r>
      <w:r>
        <w:rPr>
          <w:rFonts w:cs="Arial"/>
          <w:bCs/>
        </w:rPr>
        <w:t>w rozdziale 5.3 „</w:t>
      </w:r>
      <w:r w:rsidRPr="00CF7107">
        <w:rPr>
          <w:rFonts w:cs="Arial"/>
          <w:bCs/>
          <w:i/>
        </w:rPr>
        <w:t>Programu Gospodarki Niskoemisyjnej dla Obszaru Metropolitalnego Gdańsk-Gdynia-Sopot</w:t>
      </w:r>
      <w:r w:rsidR="00CF7107">
        <w:rPr>
          <w:rFonts w:cs="Arial"/>
          <w:bCs/>
        </w:rPr>
        <w:t>”</w:t>
      </w:r>
      <w:r>
        <w:rPr>
          <w:rFonts w:cs="Arial"/>
          <w:bCs/>
        </w:rPr>
        <w:t>.</w:t>
      </w:r>
    </w:p>
    <w:p w:rsidR="00E4604C" w:rsidRDefault="00E4604C" w:rsidP="00C25AAD">
      <w:pPr>
        <w:pStyle w:val="Akapitzlist"/>
        <w:numPr>
          <w:ilvl w:val="0"/>
          <w:numId w:val="0"/>
        </w:numPr>
        <w:spacing w:before="240" w:after="200" w:line="276" w:lineRule="auto"/>
        <w:ind w:left="284"/>
        <w:rPr>
          <w:rFonts w:cs="Arial"/>
          <w:bCs/>
        </w:rPr>
      </w:pPr>
    </w:p>
    <w:p w:rsidR="00196CF4" w:rsidRPr="00C25AAD" w:rsidRDefault="00196CF4" w:rsidP="00CF7107">
      <w:pPr>
        <w:pStyle w:val="Akapitzlist"/>
        <w:numPr>
          <w:ilvl w:val="1"/>
          <w:numId w:val="18"/>
        </w:numPr>
        <w:spacing w:before="240" w:after="200" w:line="276" w:lineRule="auto"/>
        <w:ind w:left="1077"/>
        <w:rPr>
          <w:rFonts w:cs="Arial"/>
          <w:b/>
          <w:bCs/>
          <w:u w:val="single"/>
        </w:rPr>
      </w:pPr>
      <w:r w:rsidRPr="00C25AAD">
        <w:rPr>
          <w:rFonts w:cs="Arial"/>
          <w:b/>
          <w:bCs/>
          <w:u w:val="single"/>
        </w:rPr>
        <w:t>Wojewódzkie dokumenty strategiczne</w:t>
      </w:r>
    </w:p>
    <w:p w:rsidR="00E4604C" w:rsidRDefault="00E4604C" w:rsidP="00E4604C">
      <w:pPr>
        <w:pStyle w:val="Akapitzlist"/>
        <w:numPr>
          <w:ilvl w:val="0"/>
          <w:numId w:val="0"/>
        </w:numPr>
        <w:spacing w:before="240" w:after="200" w:line="276" w:lineRule="auto"/>
        <w:ind w:left="284"/>
        <w:rPr>
          <w:rFonts w:cs="Arial"/>
          <w:bCs/>
        </w:rPr>
      </w:pPr>
      <w:r>
        <w:rPr>
          <w:rFonts w:cs="Arial"/>
          <w:bCs/>
        </w:rPr>
        <w:t>Analiza uwarunkowań wynikających z wojewódzkich dokumentów strategicznych znajduje się w rozdziale 5.4 „</w:t>
      </w:r>
      <w:r w:rsidRPr="00CF7107">
        <w:rPr>
          <w:rFonts w:cs="Arial"/>
          <w:bCs/>
          <w:i/>
        </w:rPr>
        <w:t>Programu Gospodarki Niskoemisyjnej dla Obszaru Metropolitalnego Gdańsk-Gdynia-Sopot</w:t>
      </w:r>
      <w:r w:rsidR="00CF7107">
        <w:rPr>
          <w:rFonts w:cs="Arial"/>
          <w:bCs/>
        </w:rPr>
        <w:t>”</w:t>
      </w:r>
      <w:r>
        <w:rPr>
          <w:rFonts w:cs="Arial"/>
          <w:bCs/>
        </w:rPr>
        <w:t>.</w:t>
      </w:r>
    </w:p>
    <w:p w:rsidR="00E4604C" w:rsidRDefault="00E4604C" w:rsidP="00E4604C">
      <w:pPr>
        <w:pStyle w:val="Akapitzlist"/>
        <w:numPr>
          <w:ilvl w:val="0"/>
          <w:numId w:val="0"/>
        </w:numPr>
        <w:spacing w:before="240" w:after="200" w:line="276" w:lineRule="auto"/>
        <w:ind w:left="1080"/>
        <w:rPr>
          <w:rFonts w:cs="Arial"/>
          <w:bCs/>
        </w:rPr>
      </w:pPr>
    </w:p>
    <w:p w:rsidR="00196CF4" w:rsidRPr="00C25AAD" w:rsidRDefault="00107B9D" w:rsidP="00CF7107">
      <w:pPr>
        <w:pStyle w:val="Akapitzlist"/>
        <w:numPr>
          <w:ilvl w:val="1"/>
          <w:numId w:val="18"/>
        </w:numPr>
        <w:spacing w:before="240" w:after="200" w:line="276" w:lineRule="auto"/>
        <w:ind w:left="1077"/>
        <w:rPr>
          <w:rFonts w:cs="Arial"/>
          <w:b/>
          <w:bCs/>
          <w:u w:val="single"/>
        </w:rPr>
      </w:pPr>
      <w:r w:rsidRPr="00C25AAD">
        <w:rPr>
          <w:rFonts w:cs="Arial"/>
          <w:b/>
          <w:bCs/>
          <w:u w:val="single"/>
        </w:rPr>
        <w:t>Dokumenty strategiczne na poziomie gminy – analiza i ocena zgodności celów</w:t>
      </w:r>
    </w:p>
    <w:p w:rsidR="002D5EE9" w:rsidRDefault="002D5EE9" w:rsidP="00ED6C84">
      <w:pPr>
        <w:pStyle w:val="Akapitzlist"/>
        <w:numPr>
          <w:ilvl w:val="2"/>
          <w:numId w:val="28"/>
        </w:numPr>
        <w:spacing w:before="240" w:after="200" w:line="276" w:lineRule="auto"/>
        <w:ind w:left="1134"/>
        <w:rPr>
          <w:b/>
          <w:u w:val="dash"/>
        </w:rPr>
      </w:pPr>
      <w:r w:rsidRPr="00C25AAD">
        <w:rPr>
          <w:b/>
          <w:u w:val="dash"/>
        </w:rPr>
        <w:t xml:space="preserve">Dokumenty strategiczne </w:t>
      </w:r>
    </w:p>
    <w:p w:rsidR="00ED6C84" w:rsidRDefault="00ED6C84" w:rsidP="00ED6C84">
      <w:pPr>
        <w:pStyle w:val="Akapitzlist"/>
        <w:numPr>
          <w:ilvl w:val="0"/>
          <w:numId w:val="0"/>
        </w:numPr>
        <w:spacing w:before="360" w:after="240" w:line="276" w:lineRule="auto"/>
        <w:ind w:left="448"/>
        <w:contextualSpacing w:val="0"/>
      </w:pPr>
      <w:r w:rsidRPr="00F22EEB">
        <w:t xml:space="preserve">Dokumenty strategiczne Gminy Miasta Sopotu, na podstawie których opracowany został </w:t>
      </w:r>
      <w:r w:rsidRPr="00ED6C84">
        <w:rPr>
          <w:i/>
        </w:rPr>
        <w:t>Plan Gospodarki Niskoemisyjnej dla Gminy Miasta Sopotu</w:t>
      </w:r>
      <w:r w:rsidRPr="00F22EEB">
        <w:t xml:space="preserve"> zostały przedstawione w rozdz. 1 dokumentu podstawowego</w:t>
      </w:r>
      <w:r>
        <w:t>,</w:t>
      </w:r>
      <w:r w:rsidRPr="00F22EEB">
        <w:t xml:space="preserve"> przyjętego uchwałą Rady Miasta Sopotu z dnia 29 czerwca 2015 r</w:t>
      </w:r>
      <w:r>
        <w:t>. nr </w:t>
      </w:r>
      <w:r w:rsidRPr="00F22EEB">
        <w:t xml:space="preserve">IX/110/2015r. </w:t>
      </w:r>
      <w:r w:rsidRPr="00ED6C84">
        <w:rPr>
          <w:i/>
        </w:rPr>
        <w:t>w sprawie przyjęcia Planu Gospodarki Niskoemisyjnej dla Gminy Miasta Sopotu do roku 2020</w:t>
      </w:r>
      <w:r>
        <w:t xml:space="preserve">. </w:t>
      </w:r>
    </w:p>
    <w:p w:rsidR="00ED6C84" w:rsidRDefault="00ED6C84" w:rsidP="00CC443E">
      <w:pPr>
        <w:pStyle w:val="Akapitzlist"/>
        <w:numPr>
          <w:ilvl w:val="0"/>
          <w:numId w:val="0"/>
        </w:numPr>
        <w:spacing w:after="200" w:line="276" w:lineRule="auto"/>
        <w:ind w:left="448"/>
      </w:pPr>
      <w:r>
        <w:lastRenderedPageBreak/>
        <w:t>P</w:t>
      </w:r>
      <w:r w:rsidRPr="00F22EEB">
        <w:t xml:space="preserve">rzyjmując </w:t>
      </w:r>
      <w:r w:rsidRPr="00ED6C84">
        <w:rPr>
          <w:i/>
        </w:rPr>
        <w:t>Program Gospodarki Niskoemisyjnej dla OMG-G-S,</w:t>
      </w:r>
      <w:r w:rsidRPr="00F22EEB">
        <w:t xml:space="preserve"> jako dokument nadrzędny dla aktualizowanego PGN dla</w:t>
      </w:r>
      <w:r>
        <w:t xml:space="preserve"> Gminy </w:t>
      </w:r>
      <w:r w:rsidRPr="00F22EEB">
        <w:t>Miasta Sopotu, zdefiniow</w:t>
      </w:r>
      <w:r w:rsidR="00264B53">
        <w:t>an</w:t>
      </w:r>
      <w:r>
        <w:t>o</w:t>
      </w:r>
      <w:r w:rsidRPr="00F22EEB">
        <w:t xml:space="preserve"> na nowo </w:t>
      </w:r>
      <w:r>
        <w:t>cele szczegółowe.</w:t>
      </w:r>
    </w:p>
    <w:p w:rsidR="00ED6C84" w:rsidRPr="00ED6C84" w:rsidRDefault="00ED6C84" w:rsidP="00264B53">
      <w:pPr>
        <w:pStyle w:val="Akapitzlist"/>
        <w:numPr>
          <w:ilvl w:val="0"/>
          <w:numId w:val="0"/>
        </w:numPr>
        <w:spacing w:before="240" w:after="240" w:line="276" w:lineRule="auto"/>
        <w:ind w:left="448"/>
        <w:contextualSpacing w:val="0"/>
        <w:rPr>
          <w:rFonts w:cs="Arial"/>
          <w:bCs/>
          <w:szCs w:val="24"/>
        </w:rPr>
      </w:pPr>
      <w:r>
        <w:t xml:space="preserve">Cele strategiczne i szczegółowe </w:t>
      </w:r>
      <w:r w:rsidRPr="009C4E14">
        <w:t xml:space="preserve">dla </w:t>
      </w:r>
      <w:r w:rsidRPr="009C4E14">
        <w:rPr>
          <w:szCs w:val="24"/>
        </w:rPr>
        <w:t>OMG-G-S</w:t>
      </w:r>
      <w:r>
        <w:t xml:space="preserve">, zostały przedstawione w rozdziale 4.1 </w:t>
      </w:r>
      <w:r w:rsidRPr="00ED6C84">
        <w:rPr>
          <w:i/>
          <w:szCs w:val="24"/>
        </w:rPr>
        <w:t>Program Gospodarki Niskoemisyjnej dla OMG-G-S</w:t>
      </w:r>
      <w:r w:rsidRPr="00ED6C84">
        <w:rPr>
          <w:i/>
        </w:rPr>
        <w:t>.</w:t>
      </w:r>
    </w:p>
    <w:p w:rsidR="00ED6C84" w:rsidRPr="00ED6C84" w:rsidRDefault="00ED6C84" w:rsidP="00ED6C84">
      <w:pPr>
        <w:pStyle w:val="Akapitzlist"/>
        <w:numPr>
          <w:ilvl w:val="2"/>
          <w:numId w:val="28"/>
        </w:numPr>
        <w:spacing w:before="240" w:after="200" w:line="276" w:lineRule="auto"/>
        <w:ind w:left="1134"/>
        <w:rPr>
          <w:b/>
          <w:u w:val="dash"/>
        </w:rPr>
      </w:pPr>
      <w:r w:rsidRPr="00ED6C84">
        <w:rPr>
          <w:b/>
          <w:szCs w:val="24"/>
          <w:u w:val="dash"/>
        </w:rPr>
        <w:t>Cele szczegółowe</w:t>
      </w:r>
      <w:r w:rsidRPr="00ED6C84">
        <w:rPr>
          <w:b/>
          <w:u w:val="dash"/>
        </w:rPr>
        <w:t xml:space="preserve"> dla Gminy Miasta Sopotu</w:t>
      </w:r>
    </w:p>
    <w:p w:rsidR="009C4E14" w:rsidRDefault="000D0AA5" w:rsidP="00CF7107">
      <w:pPr>
        <w:spacing w:before="240" w:after="200" w:line="276" w:lineRule="auto"/>
        <w:jc w:val="both"/>
      </w:pPr>
      <w:r>
        <w:t>Na podstawie analiz planowanych i możliwych do realizacji</w:t>
      </w:r>
      <w:r w:rsidR="00A8605C">
        <w:t xml:space="preserve"> przedsięwzięć na terenie Sopotu, proponuje się przyjęcie następujących celów szczegółowych, które będą podstawą sprecyzowania działań realizujących te cele.</w:t>
      </w:r>
    </w:p>
    <w:p w:rsidR="005D3332" w:rsidRPr="00264B53" w:rsidRDefault="005D3332" w:rsidP="00BF1FC0">
      <w:pPr>
        <w:pStyle w:val="Akapitzlist"/>
        <w:numPr>
          <w:ilvl w:val="0"/>
          <w:numId w:val="21"/>
        </w:numPr>
        <w:spacing w:before="0" w:after="200" w:line="276" w:lineRule="auto"/>
        <w:ind w:left="1134"/>
        <w:rPr>
          <w:i/>
          <w:szCs w:val="24"/>
        </w:rPr>
      </w:pPr>
      <w:r w:rsidRPr="00264B53">
        <w:rPr>
          <w:i/>
          <w:szCs w:val="24"/>
        </w:rPr>
        <w:t>W zakresie energetyki:</w:t>
      </w:r>
    </w:p>
    <w:p w:rsid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>
        <w:rPr>
          <w:szCs w:val="24"/>
        </w:rPr>
        <w:t>wymiana kotłów/ pieców węglowych na źródła niskoemisyjne</w:t>
      </w:r>
      <w:r w:rsidR="009632E4">
        <w:rPr>
          <w:szCs w:val="24"/>
        </w:rPr>
        <w:t>,</w:t>
      </w:r>
      <w:r>
        <w:rPr>
          <w:szCs w:val="24"/>
        </w:rPr>
        <w:t xml:space="preserve"> 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>
        <w:rPr>
          <w:szCs w:val="24"/>
        </w:rPr>
        <w:t>poprawa efektywności energetycznej budynków użyteczności publicznej</w:t>
      </w:r>
      <w:r w:rsidRPr="005D3332">
        <w:rPr>
          <w:szCs w:val="24"/>
        </w:rPr>
        <w:t>,</w:t>
      </w:r>
    </w:p>
    <w:p w:rsidR="005D3332" w:rsidRPr="005D3332" w:rsidRDefault="00F66FB1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>
        <w:rPr>
          <w:szCs w:val="24"/>
        </w:rPr>
        <w:t>zwiększenie udziału zasilania miasta w ciepło z miejskiej sieci ciepłowniczej</w:t>
      </w:r>
      <w:r w:rsidR="005D3332" w:rsidRPr="005D3332">
        <w:rPr>
          <w:szCs w:val="24"/>
        </w:rPr>
        <w:t xml:space="preserve"> </w:t>
      </w:r>
      <w:r w:rsidR="009632E4">
        <w:rPr>
          <w:szCs w:val="24"/>
        </w:rPr>
        <w:br/>
      </w:r>
      <w:r w:rsidR="005D3332">
        <w:rPr>
          <w:szCs w:val="24"/>
        </w:rPr>
        <w:t xml:space="preserve">i </w:t>
      </w:r>
      <w:r w:rsidR="005D3332" w:rsidRPr="005D3332">
        <w:rPr>
          <w:szCs w:val="24"/>
        </w:rPr>
        <w:t>poprawa efektywności energetycznej procesów związanych z dystrybucją ciepła,</w:t>
      </w:r>
    </w:p>
    <w:p w:rsidR="00371599" w:rsidRDefault="00371599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ograniczenie emisji gazów cieplarniach oraz innych zanieczyszczeń powietrza poprzez podłączenia do sieci ciepłowniczych</w:t>
      </w:r>
    </w:p>
    <w:p w:rsidR="005D3332" w:rsidRPr="005D3332" w:rsidRDefault="00F66FB1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>
        <w:rPr>
          <w:szCs w:val="24"/>
        </w:rPr>
        <w:t>zwiększenie udziału</w:t>
      </w:r>
      <w:r w:rsidR="009632E4">
        <w:rPr>
          <w:szCs w:val="24"/>
        </w:rPr>
        <w:t>,</w:t>
      </w:r>
      <w:r>
        <w:rPr>
          <w:szCs w:val="24"/>
        </w:rPr>
        <w:t xml:space="preserve"> w systemie energetycznym miasta</w:t>
      </w:r>
      <w:r w:rsidR="009632E4">
        <w:rPr>
          <w:szCs w:val="24"/>
        </w:rPr>
        <w:t>,</w:t>
      </w:r>
      <w:r>
        <w:rPr>
          <w:szCs w:val="24"/>
        </w:rPr>
        <w:t xml:space="preserve"> odnawialnych źródeł energii</w:t>
      </w:r>
      <w:r w:rsidR="009632E4">
        <w:rPr>
          <w:szCs w:val="24"/>
        </w:rPr>
        <w:t xml:space="preserve"> oraz </w:t>
      </w:r>
      <w:r w:rsidR="005D3332" w:rsidRPr="005D3332">
        <w:rPr>
          <w:szCs w:val="24"/>
        </w:rPr>
        <w:t>wykorzystani</w:t>
      </w:r>
      <w:r w:rsidR="009632E4">
        <w:rPr>
          <w:szCs w:val="24"/>
        </w:rPr>
        <w:t>a</w:t>
      </w:r>
      <w:r w:rsidR="005D3332" w:rsidRPr="005D3332">
        <w:rPr>
          <w:szCs w:val="24"/>
        </w:rPr>
        <w:t xml:space="preserve"> odnawialnych źródeł energii,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podniesienie efektywności wytwarzania i zarządzania energią, w tym zmniejszenie zużycia surowców.</w:t>
      </w:r>
    </w:p>
    <w:p w:rsidR="005D3332" w:rsidRPr="00264B53" w:rsidRDefault="005D3332" w:rsidP="00BF1FC0">
      <w:pPr>
        <w:pStyle w:val="Akapitzlist"/>
        <w:numPr>
          <w:ilvl w:val="0"/>
          <w:numId w:val="21"/>
        </w:numPr>
        <w:spacing w:before="0" w:after="200" w:line="276" w:lineRule="auto"/>
        <w:ind w:left="1134"/>
        <w:rPr>
          <w:i/>
          <w:szCs w:val="24"/>
        </w:rPr>
      </w:pPr>
      <w:r w:rsidRPr="00264B53">
        <w:rPr>
          <w:i/>
          <w:szCs w:val="24"/>
        </w:rPr>
        <w:t>W zakresie budownictwa (w tym budynków mieszkalnych, budynków użyteczności publicznej itp.):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realizacja nowych budynków i obiektów budowlanych zaprojektowanych zgodnie z zasadami ekoprojektowania (minimalizacji zapotrzebowania na energię, surowce i materiały) i wykorzystania energii odnawialnej,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 xml:space="preserve">przeprowadzanie remontów i rewitalizacji starych obiektów z uwzględnianiem zasad ekoprojektowania (minimalizacji zapotrzebowania na energię, surowce </w:t>
      </w:r>
      <w:r w:rsidR="005D69E7">
        <w:rPr>
          <w:szCs w:val="24"/>
        </w:rPr>
        <w:br/>
      </w:r>
      <w:r w:rsidRPr="005D3332">
        <w:rPr>
          <w:szCs w:val="24"/>
        </w:rPr>
        <w:t>i materiały) i wykorzystania energii odnawialnej,</w:t>
      </w:r>
    </w:p>
    <w:p w:rsidR="005D3332" w:rsidRPr="005D3332" w:rsidRDefault="005D3332" w:rsidP="00264B53">
      <w:pPr>
        <w:pStyle w:val="Akapitzlist"/>
        <w:numPr>
          <w:ilvl w:val="1"/>
          <w:numId w:val="21"/>
        </w:numPr>
        <w:spacing w:before="0" w:after="200" w:line="276" w:lineRule="auto"/>
        <w:ind w:left="1701" w:hanging="431"/>
        <w:rPr>
          <w:szCs w:val="24"/>
        </w:rPr>
      </w:pPr>
      <w:r w:rsidRPr="005D3332">
        <w:rPr>
          <w:szCs w:val="24"/>
        </w:rPr>
        <w:t>uwzględnianie w warunkach specyfikacji zamówień publicznych wymagań odnośnie budowy obiektów i budynków niskoemisyjnych,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modernizacja systemów centralnego ogrzewania w budynkach,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 xml:space="preserve"> energomodernizacja budynków (w tym termoizolacja), modernizacja głównych odbiorników energii elektrycznej np. modernizacja systemów oświetlenia, wymiana żarówek na energooszczędne, modernizacja wind itp.</w:t>
      </w:r>
    </w:p>
    <w:p w:rsidR="005D3332" w:rsidRPr="00264B53" w:rsidRDefault="005D3332" w:rsidP="00BF1FC0">
      <w:pPr>
        <w:pStyle w:val="Akapitzlist"/>
        <w:numPr>
          <w:ilvl w:val="0"/>
          <w:numId w:val="21"/>
        </w:numPr>
        <w:spacing w:before="0" w:after="200" w:line="276" w:lineRule="auto"/>
        <w:ind w:left="1134"/>
        <w:rPr>
          <w:i/>
          <w:szCs w:val="24"/>
        </w:rPr>
      </w:pPr>
      <w:r w:rsidRPr="00264B53">
        <w:rPr>
          <w:i/>
          <w:szCs w:val="24"/>
        </w:rPr>
        <w:t>W zakresie transportu: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modernizacja dróg w celu usprawni</w:t>
      </w:r>
      <w:r w:rsidR="00CF7107">
        <w:rPr>
          <w:szCs w:val="24"/>
        </w:rPr>
        <w:t>enia systemów komunikacyjnych i </w:t>
      </w:r>
      <w:r w:rsidRPr="005D3332">
        <w:rPr>
          <w:szCs w:val="24"/>
        </w:rPr>
        <w:t xml:space="preserve">zmniejszenia ich emisyjności, 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 xml:space="preserve"> promocja komunikacji publicznej i szereg działań mających na celu zwiększenie jej atrakcyjności,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wprowadzenie inteligentnych systemów sterowania ruchem drogowym,</w:t>
      </w:r>
    </w:p>
    <w:p w:rsidR="005D3332" w:rsidRPr="005D3332" w:rsidRDefault="00F66FB1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>
        <w:rPr>
          <w:szCs w:val="24"/>
        </w:rPr>
        <w:t xml:space="preserve">rozwój i </w:t>
      </w:r>
      <w:r w:rsidR="005D3332" w:rsidRPr="005D3332">
        <w:rPr>
          <w:szCs w:val="24"/>
        </w:rPr>
        <w:t>promocja mobilności aktywnej i alternatywnych środków transportu (</w:t>
      </w:r>
      <w:r w:rsidR="00BF1FC0">
        <w:rPr>
          <w:szCs w:val="24"/>
        </w:rPr>
        <w:t>mobilny rower</w:t>
      </w:r>
      <w:r w:rsidR="005D3332" w:rsidRPr="005D3332">
        <w:rPr>
          <w:szCs w:val="24"/>
        </w:rPr>
        <w:t>),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 xml:space="preserve">wymiana taboru </w:t>
      </w:r>
      <w:r w:rsidR="00BF1FC0">
        <w:rPr>
          <w:szCs w:val="24"/>
        </w:rPr>
        <w:t xml:space="preserve">komunikacji publicznej </w:t>
      </w:r>
      <w:r w:rsidRPr="005D3332">
        <w:rPr>
          <w:szCs w:val="24"/>
        </w:rPr>
        <w:t>na zero- emisyjny,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lastRenderedPageBreak/>
        <w:t>modernizacja systemów oświetlenia ulic.</w:t>
      </w:r>
    </w:p>
    <w:p w:rsidR="005D3332" w:rsidRPr="00264B53" w:rsidRDefault="005D3332" w:rsidP="00BF1FC0">
      <w:pPr>
        <w:pStyle w:val="Akapitzlist"/>
        <w:numPr>
          <w:ilvl w:val="0"/>
          <w:numId w:val="21"/>
        </w:numPr>
        <w:spacing w:before="0" w:after="200" w:line="276" w:lineRule="auto"/>
        <w:ind w:left="1134"/>
        <w:rPr>
          <w:i/>
          <w:szCs w:val="24"/>
        </w:rPr>
      </w:pPr>
      <w:r w:rsidRPr="00264B53">
        <w:rPr>
          <w:i/>
          <w:szCs w:val="24"/>
        </w:rPr>
        <w:t>W zakresie gospodarki odpadami:</w:t>
      </w:r>
    </w:p>
    <w:p w:rsidR="005D3332" w:rsidRP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 xml:space="preserve">ograniczenie emisji gazów cieplarnianych i innych zanieczyszczeń powietrza oraz osiągnięcie zmniejszenia zużycia </w:t>
      </w:r>
      <w:r w:rsidR="00CF7107">
        <w:rPr>
          <w:szCs w:val="24"/>
        </w:rPr>
        <w:t>surowców poprzez usprawnianie i </w:t>
      </w:r>
      <w:r w:rsidRPr="005D3332">
        <w:rPr>
          <w:szCs w:val="24"/>
        </w:rPr>
        <w:t>modernizację gospodarki odpadami.</w:t>
      </w:r>
    </w:p>
    <w:p w:rsidR="005D3332" w:rsidRPr="00264B53" w:rsidRDefault="005D3332" w:rsidP="00BF1FC0">
      <w:pPr>
        <w:pStyle w:val="Akapitzlist"/>
        <w:numPr>
          <w:ilvl w:val="0"/>
          <w:numId w:val="21"/>
        </w:numPr>
        <w:spacing w:before="0" w:after="200" w:line="276" w:lineRule="auto"/>
        <w:ind w:left="1134"/>
        <w:rPr>
          <w:i/>
          <w:szCs w:val="24"/>
        </w:rPr>
      </w:pPr>
      <w:r w:rsidRPr="00264B53">
        <w:rPr>
          <w:i/>
          <w:szCs w:val="24"/>
        </w:rPr>
        <w:t>W zakresie edukacji:</w:t>
      </w:r>
    </w:p>
    <w:p w:rsidR="005D3332" w:rsidRPr="005D3332" w:rsidRDefault="00F66FB1" w:rsidP="00CF7107">
      <w:pPr>
        <w:pStyle w:val="Akapitzlist"/>
        <w:numPr>
          <w:ilvl w:val="1"/>
          <w:numId w:val="21"/>
        </w:numPr>
        <w:spacing w:before="0" w:after="200" w:line="276" w:lineRule="auto"/>
        <w:ind w:left="1701" w:hanging="431"/>
        <w:rPr>
          <w:szCs w:val="24"/>
        </w:rPr>
      </w:pPr>
      <w:r>
        <w:rPr>
          <w:szCs w:val="24"/>
        </w:rPr>
        <w:t xml:space="preserve">promocja nowych wzorców konsumpcji - </w:t>
      </w:r>
      <w:r w:rsidR="005D3332" w:rsidRPr="005D3332">
        <w:rPr>
          <w:szCs w:val="24"/>
        </w:rPr>
        <w:t>edukacja ekologiczna społeczeństwa w kierunku zrównoważonych wzorów konsumpcji oraz wykorzystania odnawialnych źródeł energii,</w:t>
      </w:r>
    </w:p>
    <w:p w:rsidR="005D3332" w:rsidRDefault="005D3332" w:rsidP="00BF1FC0">
      <w:pPr>
        <w:pStyle w:val="Akapitzlist"/>
        <w:numPr>
          <w:ilvl w:val="1"/>
          <w:numId w:val="21"/>
        </w:numPr>
        <w:spacing w:before="0" w:after="200" w:line="276" w:lineRule="auto"/>
        <w:ind w:left="1701"/>
        <w:rPr>
          <w:szCs w:val="24"/>
        </w:rPr>
      </w:pPr>
      <w:r w:rsidRPr="005D3332">
        <w:rPr>
          <w:szCs w:val="24"/>
        </w:rPr>
        <w:t>szkolenie administratorów budynków i wspólnot mieszkaniowych w zakresie zarządzania energią.</w:t>
      </w:r>
    </w:p>
    <w:p w:rsidR="00BF1FC0" w:rsidRPr="005D3332" w:rsidRDefault="00BF1FC0" w:rsidP="00BF1FC0">
      <w:pPr>
        <w:pStyle w:val="Akapitzlist"/>
        <w:numPr>
          <w:ilvl w:val="0"/>
          <w:numId w:val="0"/>
        </w:numPr>
        <w:spacing w:before="0" w:after="200" w:line="276" w:lineRule="auto"/>
        <w:ind w:left="792"/>
        <w:rPr>
          <w:szCs w:val="24"/>
        </w:rPr>
      </w:pPr>
    </w:p>
    <w:p w:rsidR="00C944E9" w:rsidRPr="00B961B3" w:rsidRDefault="00E12A17" w:rsidP="00BF1FC0">
      <w:pPr>
        <w:pStyle w:val="Akapitzlist"/>
        <w:numPr>
          <w:ilvl w:val="0"/>
          <w:numId w:val="18"/>
        </w:numPr>
        <w:spacing w:before="360" w:after="200" w:line="276" w:lineRule="auto"/>
        <w:ind w:left="714" w:hanging="357"/>
        <w:rPr>
          <w:rFonts w:cs="Arial"/>
          <w:b/>
          <w:bCs/>
          <w:sz w:val="28"/>
          <w:szCs w:val="28"/>
        </w:rPr>
      </w:pPr>
      <w:r w:rsidRPr="00B961B3">
        <w:rPr>
          <w:rFonts w:cs="Arial"/>
          <w:b/>
          <w:bCs/>
          <w:sz w:val="28"/>
          <w:szCs w:val="28"/>
        </w:rPr>
        <w:t>Ocena środowiska w Sopocie</w:t>
      </w:r>
    </w:p>
    <w:p w:rsidR="00E12A17" w:rsidRPr="00CC443E" w:rsidRDefault="00E12A17" w:rsidP="00D40267">
      <w:pPr>
        <w:pStyle w:val="Akapitzlist"/>
        <w:numPr>
          <w:ilvl w:val="1"/>
          <w:numId w:val="18"/>
        </w:numPr>
        <w:spacing w:before="240" w:after="200" w:line="276" w:lineRule="auto"/>
        <w:rPr>
          <w:rFonts w:cs="Arial"/>
          <w:b/>
          <w:bCs/>
          <w:color w:val="000000" w:themeColor="text1"/>
          <w:u w:val="single"/>
        </w:rPr>
      </w:pPr>
      <w:r w:rsidRPr="00CC443E">
        <w:rPr>
          <w:rFonts w:cs="Arial"/>
          <w:b/>
          <w:bCs/>
          <w:color w:val="000000" w:themeColor="text1"/>
          <w:u w:val="single"/>
        </w:rPr>
        <w:t>Ocena stanu jakości powietrza</w:t>
      </w:r>
    </w:p>
    <w:p w:rsidR="00CC443E" w:rsidRDefault="00CC443E" w:rsidP="00CC443E">
      <w:p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Jakość  powietrza w Sopocie systematycznie się poprawia. Znacząco zmniejszyły się poziomy stężeń średniorocznych i przez ostatnie trzy lata wynoszą:</w:t>
      </w:r>
    </w:p>
    <w:p w:rsidR="00CC443E" w:rsidRDefault="00CC443E" w:rsidP="00CC443E">
      <w:pPr>
        <w:pStyle w:val="Akapitzlist"/>
        <w:numPr>
          <w:ilvl w:val="0"/>
          <w:numId w:val="32"/>
        </w:numPr>
        <w:spacing w:line="276" w:lineRule="auto"/>
      </w:pPr>
      <w:r w:rsidRPr="00F542A0">
        <w:rPr>
          <w:rFonts w:cs="Arial"/>
          <w:bCs/>
        </w:rPr>
        <w:t xml:space="preserve">dla ditlenku siarki od </w:t>
      </w:r>
      <w:r>
        <w:t>10,0 do 15,6 % wartości dopuszczalnej</w:t>
      </w:r>
    </w:p>
    <w:p w:rsidR="00CC443E" w:rsidRDefault="00CC443E" w:rsidP="00CC443E">
      <w:pPr>
        <w:pStyle w:val="Akapitzlist"/>
        <w:numPr>
          <w:ilvl w:val="0"/>
          <w:numId w:val="32"/>
        </w:numPr>
        <w:spacing w:line="276" w:lineRule="auto"/>
      </w:pPr>
      <w:r>
        <w:t>dla ditlenku azotu  od 34,8  do 39,0 % wartości dopuszczalnej,</w:t>
      </w:r>
    </w:p>
    <w:p w:rsidR="00CC443E" w:rsidRPr="00F542A0" w:rsidRDefault="00CC443E" w:rsidP="00CC443E">
      <w:pPr>
        <w:pStyle w:val="Akapitzlist"/>
        <w:numPr>
          <w:ilvl w:val="0"/>
          <w:numId w:val="32"/>
        </w:numPr>
        <w:spacing w:line="276" w:lineRule="auto"/>
      </w:pPr>
      <w:r>
        <w:t>dla pyłu PM</w:t>
      </w:r>
      <w:r w:rsidRPr="005117FF">
        <w:rPr>
          <w:vertAlign w:val="subscript"/>
        </w:rPr>
        <w:t>10</w:t>
      </w:r>
      <w:r>
        <w:t xml:space="preserve"> od 36% do 47% wartości dopuszczalnej.</w:t>
      </w:r>
    </w:p>
    <w:p w:rsidR="00CC443E" w:rsidRDefault="00CC443E" w:rsidP="00CC443E">
      <w:pPr>
        <w:spacing w:before="240" w:after="200" w:line="276" w:lineRule="auto"/>
        <w:jc w:val="center"/>
        <w:rPr>
          <w:rFonts w:cs="Arial"/>
          <w:bCs/>
        </w:rPr>
      </w:pPr>
      <w:r w:rsidRPr="00F542A0">
        <w:rPr>
          <w:rFonts w:cs="Arial"/>
          <w:bCs/>
          <w:noProof/>
        </w:rPr>
        <w:drawing>
          <wp:inline distT="0" distB="0" distL="0" distR="0" wp14:anchorId="3F81DB05" wp14:editId="73BC2AAD">
            <wp:extent cx="4572000" cy="274320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43E" w:rsidRDefault="00CC443E" w:rsidP="00CC443E">
      <w:pPr>
        <w:spacing w:before="240" w:after="20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>Rys.1 Procent  przekroczeń dopuszczalnych stężeń rocznych</w:t>
      </w:r>
    </w:p>
    <w:p w:rsidR="00CC443E" w:rsidRDefault="00CC443E" w:rsidP="00CC443E">
      <w:p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Nie są przekraczane również normy stężeń średniodobowych i chwilowych.</w:t>
      </w:r>
    </w:p>
    <w:p w:rsidR="00CC443E" w:rsidRDefault="00CC443E" w:rsidP="00CC443E">
      <w:p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Maksymalne stężenia średniodobowe ditlenku siarki osiągają maksymalnie 19% wartości stężenia dopuszczalnego.</w:t>
      </w:r>
    </w:p>
    <w:p w:rsidR="00CC443E" w:rsidRDefault="00CC443E" w:rsidP="00CC443E">
      <w:pPr>
        <w:spacing w:before="240" w:after="200" w:line="276" w:lineRule="auto"/>
        <w:ind w:left="0"/>
        <w:rPr>
          <w:rFonts w:cs="Arial"/>
          <w:bCs/>
        </w:rPr>
      </w:pPr>
    </w:p>
    <w:p w:rsidR="00CC443E" w:rsidRDefault="00CC443E" w:rsidP="00CC443E">
      <w:pPr>
        <w:spacing w:before="240" w:after="200" w:line="276" w:lineRule="auto"/>
        <w:ind w:left="0"/>
        <w:jc w:val="center"/>
        <w:rPr>
          <w:rFonts w:cs="Arial"/>
          <w:bCs/>
        </w:rPr>
      </w:pPr>
      <w:r w:rsidRPr="006731C4">
        <w:rPr>
          <w:rFonts w:cs="Arial"/>
          <w:bCs/>
          <w:noProof/>
        </w:rPr>
        <w:lastRenderedPageBreak/>
        <w:drawing>
          <wp:inline distT="0" distB="0" distL="0" distR="0" wp14:anchorId="14BE2337" wp14:editId="5D59ABE7">
            <wp:extent cx="4572000" cy="27432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443E" w:rsidRDefault="00CC443E" w:rsidP="00CC443E">
      <w:pPr>
        <w:spacing w:before="240" w:after="200" w:line="276" w:lineRule="auto"/>
        <w:ind w:left="0"/>
        <w:jc w:val="center"/>
        <w:rPr>
          <w:rFonts w:cs="Arial"/>
          <w:bCs/>
        </w:rPr>
      </w:pPr>
      <w:r>
        <w:rPr>
          <w:rFonts w:cs="Arial"/>
          <w:bCs/>
        </w:rPr>
        <w:t xml:space="preserve">Rys.2 Procent przekroczeń dopuszczalnych maksymalnych stężeń średniodobowych </w:t>
      </w:r>
    </w:p>
    <w:p w:rsidR="00CC443E" w:rsidRDefault="00CC443E" w:rsidP="00CC443E">
      <w:p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Maksymalne stężenia średniodobowe pyłu przekraczają wartości dopuszczalne w okresie grzewczym, jednak z tolerowaną częstotliwością. Liczba dni z przekroczeniami stężeń średniodobowych pyłu wyniosła:</w:t>
      </w:r>
    </w:p>
    <w:tbl>
      <w:tblPr>
        <w:tblW w:w="5580" w:type="dxa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</w:tblGrid>
      <w:tr w:rsidR="00CC443E" w:rsidRPr="00F12864" w:rsidTr="00CC443E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Rok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Liczba </w:t>
            </w:r>
            <w:r w:rsidRPr="00F12864">
              <w:rPr>
                <w:rFonts w:ascii="Calibri" w:hAnsi="Calibri"/>
                <w:b/>
                <w:i/>
              </w:rPr>
              <w:t>dni przekroczeniami</w:t>
            </w:r>
          </w:p>
        </w:tc>
      </w:tr>
      <w:tr w:rsidR="00CC443E" w:rsidRPr="00E816B0" w:rsidTr="00CC443E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E816B0" w:rsidRDefault="00CC443E" w:rsidP="00CC44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C443E" w:rsidRPr="00904AA5" w:rsidTr="00CC443E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904AA5" w:rsidRDefault="00CC443E" w:rsidP="00CC443E">
            <w:pPr>
              <w:jc w:val="center"/>
              <w:rPr>
                <w:rFonts w:ascii="Calibri" w:hAnsi="Calibri"/>
              </w:rPr>
            </w:pPr>
            <w:r w:rsidRPr="00904AA5">
              <w:rPr>
                <w:rFonts w:ascii="Calibri" w:hAnsi="Calibri"/>
              </w:rPr>
              <w:t>4</w:t>
            </w:r>
          </w:p>
        </w:tc>
      </w:tr>
      <w:tr w:rsidR="00CC443E" w:rsidRPr="00F12864" w:rsidTr="00CC443E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C443E" w:rsidRPr="00F12864" w:rsidTr="00CC443E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  <w:b/>
              </w:rPr>
            </w:pPr>
            <w:r w:rsidRPr="00F12864">
              <w:rPr>
                <w:rFonts w:ascii="Calibri" w:hAnsi="Calibri"/>
                <w:b/>
              </w:rPr>
              <w:t>Norma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43E" w:rsidRPr="00F12864" w:rsidRDefault="00CC443E" w:rsidP="00CC443E">
            <w:pPr>
              <w:jc w:val="center"/>
              <w:rPr>
                <w:rFonts w:ascii="Calibri" w:hAnsi="Calibri"/>
                <w:b/>
              </w:rPr>
            </w:pPr>
            <w:r w:rsidRPr="00F12864">
              <w:rPr>
                <w:rFonts w:ascii="Calibri" w:hAnsi="Calibri"/>
                <w:b/>
              </w:rPr>
              <w:t>35</w:t>
            </w:r>
          </w:p>
        </w:tc>
      </w:tr>
    </w:tbl>
    <w:p w:rsidR="00CC443E" w:rsidRDefault="00CC443E" w:rsidP="00CC443E">
      <w:p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Stężenia jednogodzinne postrzegane jako epizody nie były przekraczane dla żadnej z substancji Maksymalne wartości wynosiły:</w:t>
      </w:r>
    </w:p>
    <w:p w:rsidR="00CC443E" w:rsidRPr="00965AB9" w:rsidRDefault="00CC443E" w:rsidP="00CC443E">
      <w:pPr>
        <w:pStyle w:val="Akapitzlist"/>
        <w:numPr>
          <w:ilvl w:val="0"/>
          <w:numId w:val="33"/>
        </w:numPr>
        <w:spacing w:line="276" w:lineRule="auto"/>
        <w:rPr>
          <w:rFonts w:cs="Arial"/>
          <w:bCs/>
        </w:rPr>
      </w:pPr>
      <w:r w:rsidRPr="00965AB9">
        <w:rPr>
          <w:rFonts w:cs="Arial"/>
          <w:bCs/>
        </w:rPr>
        <w:t>dla ditlenku siarki 21,7% normy dopuszczalnej</w:t>
      </w:r>
    </w:p>
    <w:p w:rsidR="00CC443E" w:rsidRPr="00965AB9" w:rsidRDefault="00CC443E" w:rsidP="00CC443E">
      <w:pPr>
        <w:pStyle w:val="Akapitzlist"/>
        <w:numPr>
          <w:ilvl w:val="0"/>
          <w:numId w:val="33"/>
        </w:numPr>
        <w:spacing w:line="276" w:lineRule="auto"/>
        <w:rPr>
          <w:rFonts w:cs="Arial"/>
          <w:bCs/>
        </w:rPr>
      </w:pPr>
      <w:r w:rsidRPr="00965AB9">
        <w:rPr>
          <w:rFonts w:cs="Arial"/>
          <w:bCs/>
        </w:rPr>
        <w:t>dla ditlenku azotu  51,6% normy dopuszczalnej</w:t>
      </w:r>
    </w:p>
    <w:p w:rsidR="00CC443E" w:rsidRPr="00285D62" w:rsidRDefault="00CC443E" w:rsidP="00CC443E">
      <w:pPr>
        <w:pStyle w:val="Nagwek3"/>
        <w:ind w:hanging="436"/>
      </w:pPr>
      <w:r w:rsidRPr="00285D62">
        <w:t xml:space="preserve">Klasyfikacja strefy aglomeracji trójmiejskiej </w:t>
      </w:r>
      <w:r>
        <w:t xml:space="preserve">wg </w:t>
      </w:r>
      <w:r w:rsidRPr="00285D62">
        <w:t>oceny WIOŚ  za lata 2013-2015</w:t>
      </w:r>
    </w:p>
    <w:p w:rsidR="00CC443E" w:rsidRPr="00CC443E" w:rsidRDefault="00CC443E" w:rsidP="00CC443E">
      <w:pPr>
        <w:pStyle w:val="Tekstpodstawowy"/>
        <w:spacing w:line="360" w:lineRule="auto"/>
        <w:ind w:hanging="436"/>
        <w:rPr>
          <w:rFonts w:asciiTheme="minorHAnsi" w:hAnsiTheme="minorHAnsi"/>
          <w:color w:val="000000" w:themeColor="text1"/>
          <w:szCs w:val="22"/>
        </w:rPr>
      </w:pPr>
    </w:p>
    <w:p w:rsidR="00CC443E" w:rsidRDefault="00CC443E" w:rsidP="00CC443E">
      <w:pPr>
        <w:spacing w:line="276" w:lineRule="auto"/>
        <w:jc w:val="both"/>
        <w:rPr>
          <w:szCs w:val="22"/>
          <w:lang w:eastAsia="en-GB"/>
        </w:rPr>
      </w:pPr>
      <w:r>
        <w:rPr>
          <w:szCs w:val="22"/>
          <w:lang w:eastAsia="en-GB"/>
        </w:rPr>
        <w:t>C</w:t>
      </w:r>
      <w:r w:rsidRPr="00B41E35">
        <w:rPr>
          <w:szCs w:val="22"/>
          <w:lang w:eastAsia="en-GB"/>
        </w:rPr>
        <w:t>orocznie</w:t>
      </w:r>
      <w:r>
        <w:rPr>
          <w:szCs w:val="22"/>
          <w:lang w:eastAsia="en-GB"/>
        </w:rPr>
        <w:t xml:space="preserve"> </w:t>
      </w:r>
      <w:r w:rsidRPr="00B41E35">
        <w:rPr>
          <w:szCs w:val="22"/>
          <w:lang w:eastAsia="en-GB"/>
        </w:rPr>
        <w:t>Wojewódzki Inspektor Ochrony Środowiska</w:t>
      </w:r>
      <w:r>
        <w:rPr>
          <w:szCs w:val="22"/>
          <w:lang w:eastAsia="en-GB"/>
        </w:rPr>
        <w:t xml:space="preserve"> w Gdańsku dokonuje </w:t>
      </w:r>
      <w:r w:rsidRPr="00B41E35">
        <w:rPr>
          <w:szCs w:val="22"/>
          <w:lang w:eastAsia="en-GB"/>
        </w:rPr>
        <w:t xml:space="preserve"> </w:t>
      </w:r>
      <w:r>
        <w:rPr>
          <w:szCs w:val="22"/>
          <w:lang w:eastAsia="en-GB"/>
        </w:rPr>
        <w:t>o</w:t>
      </w:r>
      <w:r w:rsidRPr="00B41E35">
        <w:rPr>
          <w:szCs w:val="22"/>
          <w:lang w:eastAsia="en-GB"/>
        </w:rPr>
        <w:t>cen</w:t>
      </w:r>
      <w:r>
        <w:rPr>
          <w:szCs w:val="22"/>
          <w:lang w:eastAsia="en-GB"/>
        </w:rPr>
        <w:t>y jakości powietrza, która</w:t>
      </w:r>
      <w:r w:rsidRPr="00B41E35">
        <w:rPr>
          <w:szCs w:val="22"/>
          <w:lang w:eastAsia="en-GB"/>
        </w:rPr>
        <w:t xml:space="preserve"> </w:t>
      </w:r>
      <w:r>
        <w:rPr>
          <w:szCs w:val="22"/>
          <w:lang w:eastAsia="en-GB"/>
        </w:rPr>
        <w:t xml:space="preserve"> </w:t>
      </w:r>
      <w:r w:rsidRPr="00B41E35">
        <w:rPr>
          <w:szCs w:val="22"/>
          <w:lang w:eastAsia="en-GB"/>
        </w:rPr>
        <w:t>jest wynikiem obowiązku jaki nakłada na niego art. 89 i 90 Prawa o</w:t>
      </w:r>
      <w:r>
        <w:rPr>
          <w:szCs w:val="22"/>
          <w:lang w:eastAsia="en-GB"/>
        </w:rPr>
        <w:t xml:space="preserve">chrony środowiska (Dz.U. z 2013 </w:t>
      </w:r>
      <w:r w:rsidRPr="00B41E35">
        <w:rPr>
          <w:szCs w:val="22"/>
          <w:lang w:eastAsia="en-GB"/>
        </w:rPr>
        <w:t>poz. 1232).</w:t>
      </w:r>
      <w:r w:rsidRPr="00460A5C">
        <w:rPr>
          <w:szCs w:val="22"/>
          <w:lang w:eastAsia="en-GB"/>
        </w:rPr>
        <w:t xml:space="preserve"> Dla celów oceny jako</w:t>
      </w:r>
      <w:r>
        <w:rPr>
          <w:szCs w:val="22"/>
          <w:lang w:eastAsia="en-GB"/>
        </w:rPr>
        <w:t>ści powietrza oraz uchwalania i </w:t>
      </w:r>
      <w:r w:rsidRPr="00460A5C">
        <w:rPr>
          <w:szCs w:val="22"/>
          <w:lang w:eastAsia="en-GB"/>
        </w:rPr>
        <w:t xml:space="preserve">realizacji programów jego ochrony na terenie  kraju ustanowione zostały strefy. Wyznaczono je w oparciu o podział administracyjny kraju. Swymi granicami obejmują aglomeracje, miasta powyżej 100 tys. mieszkańców oraz pozostałe obszary leżące </w:t>
      </w:r>
      <w:r>
        <w:rPr>
          <w:szCs w:val="22"/>
          <w:lang w:eastAsia="en-GB"/>
        </w:rPr>
        <w:t>w granicach województwa. W </w:t>
      </w:r>
      <w:r w:rsidRPr="00460A5C">
        <w:rPr>
          <w:szCs w:val="22"/>
          <w:lang w:eastAsia="en-GB"/>
        </w:rPr>
        <w:t>tym ujęciu w województwie pomorskim znajdują się dwie s</w:t>
      </w:r>
      <w:r>
        <w:rPr>
          <w:szCs w:val="22"/>
          <w:lang w:eastAsia="en-GB"/>
        </w:rPr>
        <w:t>trefy aglomeracja trójmiejska w </w:t>
      </w:r>
      <w:r w:rsidRPr="00460A5C">
        <w:rPr>
          <w:szCs w:val="22"/>
          <w:lang w:eastAsia="en-GB"/>
        </w:rPr>
        <w:t>skład której wchodzi Gdańsk, Gdynia i Sopot oraz pozostała część województwa zwana strefą pomorską.</w:t>
      </w:r>
      <w:r>
        <w:rPr>
          <w:szCs w:val="22"/>
          <w:lang w:eastAsia="en-GB"/>
        </w:rPr>
        <w:t xml:space="preserve"> W wyniku dokonanej oceny jakości powietrza  w latach 2013-2015 aglomerację trójmiejską zaklasyfikowano do strefy C ze względu  ponadnormatywną liczby dni </w:t>
      </w:r>
      <w:r>
        <w:rPr>
          <w:szCs w:val="22"/>
          <w:lang w:eastAsia="en-GB"/>
        </w:rPr>
        <w:lastRenderedPageBreak/>
        <w:t xml:space="preserve">z przekroczeniami średniodobowej  wartości pyłu PM10 oraz przekroczenie średniorocznego poziomu docelowego benzo(a)pirenu w pyle PM10. W  latach 2013-2015 wszystkie przekroczenia  odnotowano  wyłącznie na terenie miasta Gdynia i Gdańska, nie odnotowano  natomiast żadnych przekroczeń na stacji w Sopocie. </w:t>
      </w:r>
    </w:p>
    <w:p w:rsidR="00CC443E" w:rsidRDefault="00CC443E" w:rsidP="00CC443E">
      <w:pPr>
        <w:spacing w:line="276" w:lineRule="auto"/>
        <w:ind w:left="0"/>
        <w:jc w:val="both"/>
        <w:rPr>
          <w:szCs w:val="22"/>
          <w:lang w:eastAsia="en-GB"/>
        </w:rPr>
      </w:pPr>
    </w:p>
    <w:p w:rsidR="00CC443E" w:rsidRPr="00CC443E" w:rsidRDefault="00CC443E" w:rsidP="00CC443E">
      <w:pPr>
        <w:pStyle w:val="Tekstpodstawowy"/>
        <w:spacing w:line="276" w:lineRule="auto"/>
        <w:ind w:left="284"/>
        <w:rPr>
          <w:rFonts w:ascii="Garamond" w:hAnsi="Garamond"/>
          <w:color w:val="000000" w:themeColor="text1"/>
          <w:sz w:val="24"/>
        </w:rPr>
      </w:pPr>
      <w:r w:rsidRPr="005117FF">
        <w:rPr>
          <w:rFonts w:ascii="Garamond" w:hAnsi="Garamond"/>
          <w:bCs/>
          <w:sz w:val="24"/>
        </w:rPr>
        <w:t>Na podstawie danych z pomiarów automatycznych na stacji AM6 przy ul. Bitwy pod Połowicami stan</w:t>
      </w:r>
      <w:r w:rsidRPr="005117FF">
        <w:rPr>
          <w:rFonts w:ascii="Garamond" w:hAnsi="Garamond"/>
          <w:sz w:val="24"/>
        </w:rPr>
        <w:t xml:space="preserve"> zanieczyszczenia powietrza atmosferycznego w Sopocie można ocenić </w:t>
      </w:r>
      <w:r>
        <w:rPr>
          <w:rFonts w:ascii="Garamond" w:hAnsi="Garamond"/>
          <w:sz w:val="24"/>
        </w:rPr>
        <w:t>w </w:t>
      </w:r>
      <w:r w:rsidRPr="005117FF">
        <w:rPr>
          <w:rFonts w:ascii="Garamond" w:hAnsi="Garamond"/>
          <w:sz w:val="24"/>
        </w:rPr>
        <w:t>trendzie długookresowym  jako bardzo dobry w od</w:t>
      </w:r>
      <w:r>
        <w:rPr>
          <w:rFonts w:ascii="Garamond" w:hAnsi="Garamond"/>
          <w:sz w:val="24"/>
        </w:rPr>
        <w:t>niesieniu do dwutlenku siarki i </w:t>
      </w:r>
      <w:r w:rsidRPr="005117FF">
        <w:rPr>
          <w:rFonts w:ascii="Garamond" w:hAnsi="Garamond"/>
          <w:sz w:val="24"/>
        </w:rPr>
        <w:t xml:space="preserve">dwutlenku azotu, </w:t>
      </w:r>
      <w:r w:rsidRPr="00CC443E">
        <w:rPr>
          <w:rFonts w:ascii="Garamond" w:hAnsi="Garamond"/>
          <w:color w:val="000000" w:themeColor="text1"/>
          <w:sz w:val="24"/>
        </w:rPr>
        <w:t>bardzo dobry  bądź dobry  pod względem zanieczyszczenia pyłem PM</w:t>
      </w:r>
      <w:r w:rsidRPr="00CC443E">
        <w:rPr>
          <w:rFonts w:ascii="Garamond" w:hAnsi="Garamond"/>
          <w:color w:val="000000" w:themeColor="text1"/>
          <w:sz w:val="24"/>
          <w:vertAlign w:val="subscript"/>
        </w:rPr>
        <w:t>10</w:t>
      </w:r>
      <w:r w:rsidRPr="00CC443E">
        <w:rPr>
          <w:rFonts w:ascii="Garamond" w:hAnsi="Garamond"/>
          <w:color w:val="000000" w:themeColor="text1"/>
          <w:sz w:val="24"/>
        </w:rPr>
        <w:t xml:space="preserve">  .</w:t>
      </w:r>
    </w:p>
    <w:p w:rsidR="00E12A17" w:rsidRPr="00D40267" w:rsidRDefault="00E12A17" w:rsidP="00D40267">
      <w:pPr>
        <w:pStyle w:val="Akapitzlist"/>
        <w:numPr>
          <w:ilvl w:val="1"/>
          <w:numId w:val="18"/>
        </w:numPr>
        <w:spacing w:before="240" w:after="200" w:line="276" w:lineRule="auto"/>
        <w:rPr>
          <w:rFonts w:cs="Arial"/>
          <w:b/>
          <w:bCs/>
          <w:u w:val="single"/>
        </w:rPr>
      </w:pPr>
      <w:r w:rsidRPr="00D40267">
        <w:rPr>
          <w:rFonts w:cs="Arial"/>
          <w:b/>
          <w:bCs/>
          <w:u w:val="single"/>
        </w:rPr>
        <w:t>Odpady</w:t>
      </w:r>
    </w:p>
    <w:p w:rsidR="00040AE9" w:rsidRDefault="00040AE9" w:rsidP="00CC443E">
      <w:pPr>
        <w:pStyle w:val="GOMnormal"/>
        <w:spacing w:line="276" w:lineRule="auto"/>
        <w:ind w:left="284"/>
        <w:rPr>
          <w:rFonts w:ascii="Garamond" w:hAnsi="Garamond"/>
          <w:sz w:val="24"/>
          <w:szCs w:val="24"/>
        </w:rPr>
      </w:pPr>
      <w:r w:rsidRPr="00C921EE">
        <w:rPr>
          <w:rFonts w:ascii="Garamond" w:hAnsi="Garamond"/>
          <w:sz w:val="24"/>
          <w:szCs w:val="24"/>
        </w:rPr>
        <w:t xml:space="preserve">Wielkość emisji z sektora gospodarki odpadami </w:t>
      </w:r>
      <w:r w:rsidR="00C921EE" w:rsidRPr="00C921EE">
        <w:rPr>
          <w:rFonts w:ascii="Garamond" w:hAnsi="Garamond"/>
          <w:sz w:val="24"/>
          <w:szCs w:val="24"/>
        </w:rPr>
        <w:t xml:space="preserve">komunalnymi </w:t>
      </w:r>
      <w:r w:rsidRPr="00C921EE">
        <w:rPr>
          <w:rFonts w:ascii="Garamond" w:hAnsi="Garamond"/>
          <w:sz w:val="24"/>
          <w:szCs w:val="24"/>
        </w:rPr>
        <w:t xml:space="preserve">zależy od ilości mieszkańców </w:t>
      </w:r>
      <w:r w:rsidR="00CC443E">
        <w:rPr>
          <w:rFonts w:ascii="Garamond" w:hAnsi="Garamond"/>
          <w:sz w:val="24"/>
          <w:szCs w:val="24"/>
        </w:rPr>
        <w:t>i </w:t>
      </w:r>
      <w:r w:rsidRPr="00C921EE">
        <w:rPr>
          <w:rFonts w:ascii="Garamond" w:hAnsi="Garamond"/>
          <w:sz w:val="24"/>
          <w:szCs w:val="24"/>
        </w:rPr>
        <w:t xml:space="preserve">sposobu zagospodarowania tych odpadów, gdyż emisja gazów cieplarnianych wyznaczana jest z ilości odpadów składowanych w ciągu roku lub unieszkodliwionych poprzez spalanie. </w:t>
      </w:r>
      <w:r w:rsidR="00C921EE" w:rsidRPr="00C921EE">
        <w:rPr>
          <w:rFonts w:ascii="Garamond" w:hAnsi="Garamond"/>
          <w:sz w:val="24"/>
          <w:szCs w:val="24"/>
        </w:rPr>
        <w:t xml:space="preserve">Stąd też ze względu na emisję gazów cieplarnianych istotne są informacje o strumieniu odpadów </w:t>
      </w:r>
      <w:r w:rsidR="00426BC1">
        <w:rPr>
          <w:rFonts w:ascii="Garamond" w:hAnsi="Garamond"/>
          <w:sz w:val="24"/>
          <w:szCs w:val="24"/>
        </w:rPr>
        <w:t>z danego terenu oraz informacji o ich termicznym unieszkodliwieniu i o ilości przekazanej do składowania.</w:t>
      </w:r>
      <w:r w:rsidR="00C921EE" w:rsidRPr="00C921EE">
        <w:rPr>
          <w:rFonts w:ascii="Garamond" w:hAnsi="Garamond"/>
          <w:sz w:val="24"/>
          <w:szCs w:val="24"/>
        </w:rPr>
        <w:t xml:space="preserve"> </w:t>
      </w:r>
    </w:p>
    <w:p w:rsidR="00C921EE" w:rsidRDefault="00426BC1" w:rsidP="00CC443E">
      <w:pPr>
        <w:pStyle w:val="GOMnormal"/>
        <w:spacing w:line="276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Prowadzony w Gminie Miasta Sopotu program gospodarki odpadami komunalnymi pozwolił </w:t>
      </w:r>
      <w:r w:rsidR="00C90327">
        <w:rPr>
          <w:rFonts w:ascii="Garamond" w:hAnsi="Garamond"/>
          <w:sz w:val="24"/>
          <w:szCs w:val="24"/>
        </w:rPr>
        <w:t>na osią</w:t>
      </w:r>
      <w:r>
        <w:rPr>
          <w:rFonts w:ascii="Garamond" w:hAnsi="Garamond"/>
          <w:sz w:val="24"/>
          <w:szCs w:val="24"/>
        </w:rPr>
        <w:t xml:space="preserve">gniecie </w:t>
      </w:r>
      <w:r w:rsidR="00C90327">
        <w:rPr>
          <w:rFonts w:ascii="Garamond" w:hAnsi="Garamond"/>
          <w:sz w:val="24"/>
          <w:szCs w:val="24"/>
        </w:rPr>
        <w:t>w roku 2015 36% udział strumienia wysegregowanych odpadów w całej masie odebranych z terenu gminy odpadów komunalnych</w:t>
      </w:r>
      <w:r w:rsidR="00AC6ACD">
        <w:rPr>
          <w:rFonts w:ascii="Garamond" w:hAnsi="Garamond"/>
          <w:sz w:val="24"/>
          <w:szCs w:val="24"/>
        </w:rPr>
        <w:t xml:space="preserve"> oraz osiągniecie ponad wymagany cel dla roku 2015 poziomów recyklingu i przygotowania do ponownego użycia. </w:t>
      </w:r>
      <w:r w:rsidR="00C90327">
        <w:rPr>
          <w:rFonts w:ascii="Garamond" w:hAnsi="Garamond"/>
          <w:sz w:val="24"/>
          <w:szCs w:val="24"/>
        </w:rPr>
        <w:t xml:space="preserve">Informację </w:t>
      </w:r>
      <w:r w:rsidR="00CC443E">
        <w:rPr>
          <w:rFonts w:ascii="Garamond" w:hAnsi="Garamond"/>
          <w:sz w:val="24"/>
          <w:szCs w:val="24"/>
        </w:rPr>
        <w:t>o </w:t>
      </w:r>
      <w:r w:rsidR="00C90327">
        <w:rPr>
          <w:rFonts w:ascii="Garamond" w:hAnsi="Garamond"/>
          <w:sz w:val="24"/>
          <w:szCs w:val="24"/>
        </w:rPr>
        <w:t>osiągniętych poziomach recyklingu w okresie 2012-2015 przedstawia poniżej tabela nr 1.</w:t>
      </w:r>
    </w:p>
    <w:p w:rsidR="00C90327" w:rsidRPr="00AC6ACD" w:rsidRDefault="00C90327" w:rsidP="00264B53">
      <w:pPr>
        <w:spacing w:before="120" w:after="120"/>
        <w:ind w:left="993" w:hanging="709"/>
      </w:pPr>
      <w:r w:rsidRPr="00AC6ACD">
        <w:t>Tabela 1</w:t>
      </w:r>
      <w:r w:rsidR="00AC6ACD" w:rsidRPr="00AC6ACD">
        <w:t xml:space="preserve">. </w:t>
      </w:r>
      <w:r w:rsidRPr="00AC6ACD">
        <w:t>Osiągnięte na terenie Sopotu  poziomy recyklingu i przygotowania do ponownego użycia</w:t>
      </w:r>
      <w:r w:rsidR="00AC6ACD" w:rsidRPr="00AC6ACD">
        <w:t xml:space="preserve"> [%]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27"/>
        <w:gridCol w:w="1028"/>
        <w:gridCol w:w="1028"/>
        <w:gridCol w:w="1028"/>
        <w:gridCol w:w="1275"/>
        <w:gridCol w:w="1276"/>
      </w:tblGrid>
      <w:tr w:rsidR="00AC6ACD" w:rsidRPr="00AC6ACD" w:rsidTr="00AC6ACD">
        <w:trPr>
          <w:trHeight w:val="428"/>
        </w:trPr>
        <w:tc>
          <w:tcPr>
            <w:tcW w:w="2410" w:type="dxa"/>
            <w:shd w:val="clear" w:color="auto" w:fill="auto"/>
          </w:tcPr>
          <w:p w:rsidR="00AC6ACD" w:rsidRPr="00AC6ACD" w:rsidRDefault="00AC6ACD" w:rsidP="00AC6ACD">
            <w:pPr>
              <w:spacing w:before="120" w:after="120"/>
              <w:ind w:left="0"/>
            </w:pPr>
            <w:r w:rsidRPr="00AC6ACD">
              <w:rPr>
                <w:rFonts w:cs="Tahoma"/>
                <w:sz w:val="20"/>
                <w:szCs w:val="20"/>
              </w:rPr>
              <w:t xml:space="preserve">Osiągnięte poziomy w Sopocie </w:t>
            </w:r>
          </w:p>
        </w:tc>
        <w:tc>
          <w:tcPr>
            <w:tcW w:w="1027" w:type="dxa"/>
            <w:shd w:val="clear" w:color="auto" w:fill="auto"/>
          </w:tcPr>
          <w:p w:rsidR="00AC6ACD" w:rsidRPr="00AC6ACD" w:rsidRDefault="00AC6ACD" w:rsidP="009632E4">
            <w:pPr>
              <w:spacing w:before="120" w:after="120"/>
            </w:pPr>
            <w:r w:rsidRPr="00AC6ACD">
              <w:rPr>
                <w:rFonts w:cs="Tahoma"/>
                <w:sz w:val="20"/>
                <w:szCs w:val="20"/>
              </w:rPr>
              <w:t>Rok 2012</w:t>
            </w:r>
          </w:p>
        </w:tc>
        <w:tc>
          <w:tcPr>
            <w:tcW w:w="1028" w:type="dxa"/>
            <w:shd w:val="clear" w:color="auto" w:fill="auto"/>
          </w:tcPr>
          <w:p w:rsidR="00AC6ACD" w:rsidRPr="00AC6ACD" w:rsidRDefault="00AC6ACD" w:rsidP="009632E4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Rok 2013</w:t>
            </w:r>
          </w:p>
        </w:tc>
        <w:tc>
          <w:tcPr>
            <w:tcW w:w="1028" w:type="dxa"/>
          </w:tcPr>
          <w:p w:rsidR="00AC6ACD" w:rsidRPr="00AC6ACD" w:rsidRDefault="00AC6ACD" w:rsidP="009632E4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 xml:space="preserve">Rok 2014 </w:t>
            </w:r>
          </w:p>
        </w:tc>
        <w:tc>
          <w:tcPr>
            <w:tcW w:w="1028" w:type="dxa"/>
          </w:tcPr>
          <w:p w:rsidR="00AC6ACD" w:rsidRPr="00AC6ACD" w:rsidRDefault="00AC6ACD" w:rsidP="009632E4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 xml:space="preserve">Rok 2015 </w:t>
            </w:r>
          </w:p>
        </w:tc>
        <w:tc>
          <w:tcPr>
            <w:tcW w:w="1275" w:type="dxa"/>
            <w:shd w:val="clear" w:color="auto" w:fill="auto"/>
          </w:tcPr>
          <w:p w:rsidR="00AC6ACD" w:rsidRPr="00AC6ACD" w:rsidRDefault="00AC6ACD" w:rsidP="00AC6ACD">
            <w:pPr>
              <w:spacing w:before="120" w:after="120"/>
              <w:ind w:left="34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Wymagania dla 2015</w:t>
            </w:r>
          </w:p>
        </w:tc>
        <w:tc>
          <w:tcPr>
            <w:tcW w:w="1276" w:type="dxa"/>
          </w:tcPr>
          <w:p w:rsidR="00AC6ACD" w:rsidRPr="00AC6ACD" w:rsidRDefault="00AC6ACD" w:rsidP="00AC6ACD">
            <w:pPr>
              <w:spacing w:before="120" w:after="120"/>
              <w:ind w:left="34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Wymagania dla 2020</w:t>
            </w:r>
          </w:p>
        </w:tc>
      </w:tr>
      <w:tr w:rsidR="00AC6ACD" w:rsidRPr="00AC6ACD" w:rsidTr="00AC6ACD">
        <w:tc>
          <w:tcPr>
            <w:tcW w:w="2410" w:type="dxa"/>
            <w:shd w:val="clear" w:color="auto" w:fill="auto"/>
          </w:tcPr>
          <w:p w:rsidR="00AC6ACD" w:rsidRPr="00AC6ACD" w:rsidRDefault="00AC6ACD" w:rsidP="00AC6ACD">
            <w:pPr>
              <w:ind w:left="0"/>
            </w:pPr>
            <w:r w:rsidRPr="00AC6ACD">
              <w:rPr>
                <w:rFonts w:cs="Tahoma"/>
                <w:sz w:val="20"/>
                <w:szCs w:val="20"/>
              </w:rPr>
              <w:t xml:space="preserve">Poziom recyklingu i przygotowania do ponownego użycia </w:t>
            </w:r>
            <w:r w:rsidRPr="00AC6ACD">
              <w:rPr>
                <w:rFonts w:cs="Tahoma"/>
                <w:b/>
                <w:sz w:val="20"/>
                <w:szCs w:val="20"/>
                <w:u w:val="single"/>
              </w:rPr>
              <w:t>papieru, metalu, szkła, plastiku</w:t>
            </w:r>
            <w:r w:rsidRPr="00AC6AC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22,2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36,9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53,2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&gt;14</w:t>
            </w:r>
          </w:p>
        </w:tc>
        <w:tc>
          <w:tcPr>
            <w:tcW w:w="1276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&gt;50</w:t>
            </w:r>
          </w:p>
        </w:tc>
      </w:tr>
      <w:tr w:rsidR="00AC6ACD" w:rsidRPr="00AC6ACD" w:rsidTr="00AC6ACD">
        <w:tc>
          <w:tcPr>
            <w:tcW w:w="2410" w:type="dxa"/>
            <w:shd w:val="clear" w:color="auto" w:fill="auto"/>
          </w:tcPr>
          <w:p w:rsidR="00AC6ACD" w:rsidRPr="00AC6ACD" w:rsidRDefault="00AC6ACD" w:rsidP="00AC6ACD">
            <w:pPr>
              <w:ind w:left="0"/>
            </w:pPr>
            <w:r w:rsidRPr="00AC6ACD">
              <w:rPr>
                <w:rFonts w:cs="Tahoma"/>
                <w:sz w:val="20"/>
                <w:szCs w:val="20"/>
              </w:rPr>
              <w:t xml:space="preserve">Poziom recyklingu i odzysku </w:t>
            </w:r>
            <w:r w:rsidRPr="00AC6ACD">
              <w:rPr>
                <w:rFonts w:cs="Tahoma"/>
                <w:b/>
                <w:sz w:val="20"/>
                <w:szCs w:val="20"/>
                <w:u w:val="single"/>
              </w:rPr>
              <w:t>odpadów budowlanych komunalnych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99,6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88,5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70,0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60,3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&gt;38</w:t>
            </w:r>
          </w:p>
        </w:tc>
        <w:tc>
          <w:tcPr>
            <w:tcW w:w="1276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&gt;70</w:t>
            </w:r>
          </w:p>
        </w:tc>
      </w:tr>
      <w:tr w:rsidR="00AC6ACD" w:rsidRPr="00AC6ACD" w:rsidTr="00AC6ACD">
        <w:tc>
          <w:tcPr>
            <w:tcW w:w="2410" w:type="dxa"/>
            <w:shd w:val="clear" w:color="auto" w:fill="auto"/>
          </w:tcPr>
          <w:p w:rsidR="00AC6ACD" w:rsidRPr="00AC6ACD" w:rsidRDefault="00AC6ACD" w:rsidP="00AC6ACD">
            <w:pPr>
              <w:ind w:left="0"/>
            </w:pPr>
            <w:r w:rsidRPr="00AC6ACD">
              <w:rPr>
                <w:rFonts w:cs="Tahoma"/>
                <w:sz w:val="20"/>
                <w:szCs w:val="20"/>
              </w:rPr>
              <w:t xml:space="preserve">Poziom ograniczenia masy </w:t>
            </w:r>
            <w:r w:rsidRPr="00AC6ACD">
              <w:rPr>
                <w:rFonts w:cs="Tahoma"/>
                <w:b/>
                <w:sz w:val="20"/>
                <w:szCs w:val="20"/>
                <w:u w:val="single"/>
              </w:rPr>
              <w:t>odpadów ulegających biodegradacji</w:t>
            </w:r>
            <w:r w:rsidRPr="00AC6ACD">
              <w:rPr>
                <w:rFonts w:cs="Tahoma"/>
                <w:sz w:val="20"/>
                <w:szCs w:val="20"/>
              </w:rPr>
              <w:t xml:space="preserve"> przekazanych do składowania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42,9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16,6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sz w:val="20"/>
                <w:szCs w:val="20"/>
              </w:rPr>
            </w:pPr>
            <w:r w:rsidRPr="00AC6ACD">
              <w:rPr>
                <w:rFonts w:cs="Tahoma"/>
                <w:sz w:val="20"/>
                <w:szCs w:val="20"/>
              </w:rPr>
              <w:t>1,4</w:t>
            </w:r>
          </w:p>
        </w:tc>
        <w:tc>
          <w:tcPr>
            <w:tcW w:w="1028" w:type="dxa"/>
            <w:vAlign w:val="center"/>
          </w:tcPr>
          <w:p w:rsidR="00AC6ACD" w:rsidRPr="00AC6ACD" w:rsidRDefault="00AC6ACD" w:rsidP="00AC6ACD">
            <w:pPr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&lt;50</w:t>
            </w:r>
          </w:p>
        </w:tc>
        <w:tc>
          <w:tcPr>
            <w:tcW w:w="1276" w:type="dxa"/>
            <w:vAlign w:val="center"/>
          </w:tcPr>
          <w:p w:rsidR="00AC6ACD" w:rsidRPr="00AC6ACD" w:rsidRDefault="00AC6ACD" w:rsidP="00AC6ACD">
            <w:pPr>
              <w:ind w:left="34"/>
              <w:jc w:val="center"/>
              <w:rPr>
                <w:rFonts w:cs="Tahoma"/>
                <w:b/>
                <w:sz w:val="20"/>
                <w:szCs w:val="20"/>
              </w:rPr>
            </w:pPr>
            <w:r w:rsidRPr="00AC6ACD">
              <w:rPr>
                <w:rFonts w:cs="Tahoma"/>
                <w:b/>
                <w:sz w:val="20"/>
                <w:szCs w:val="20"/>
              </w:rPr>
              <w:t>&lt;35</w:t>
            </w:r>
          </w:p>
        </w:tc>
      </w:tr>
    </w:tbl>
    <w:p w:rsidR="00C90327" w:rsidRPr="00C20318" w:rsidRDefault="00C90327" w:rsidP="00C90327">
      <w:pPr>
        <w:ind w:left="360"/>
      </w:pPr>
    </w:p>
    <w:p w:rsidR="004E59DD" w:rsidRDefault="004E59DD" w:rsidP="00CC443E">
      <w:pPr>
        <w:pStyle w:val="GOMnormal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programie Gospodarki Niskoemisyjnej OMG-G-S w tabeli 31 zestawiono emisje gazów cieplarnianych z terenu objętego Programem. Dla Sopotu emisje gazów cieplarnianych dla obszaru gospodarki odpadami wynoszą zero. </w:t>
      </w:r>
    </w:p>
    <w:p w:rsidR="00903505" w:rsidRDefault="00903505" w:rsidP="00903505">
      <w:pPr>
        <w:ind w:left="360"/>
      </w:pPr>
    </w:p>
    <w:p w:rsidR="004C423D" w:rsidRPr="00B961B3" w:rsidRDefault="004C423D" w:rsidP="003C3B63">
      <w:pPr>
        <w:pStyle w:val="Akapitzlist"/>
        <w:numPr>
          <w:ilvl w:val="0"/>
          <w:numId w:val="0"/>
        </w:numPr>
        <w:spacing w:before="240" w:after="200" w:line="276" w:lineRule="auto"/>
        <w:ind w:left="426" w:hanging="414"/>
        <w:rPr>
          <w:b/>
          <w:bCs/>
          <w:sz w:val="28"/>
          <w:szCs w:val="28"/>
        </w:rPr>
      </w:pPr>
      <w:r w:rsidRPr="00B961B3">
        <w:rPr>
          <w:rFonts w:cs="Arial"/>
          <w:b/>
          <w:bCs/>
          <w:sz w:val="28"/>
          <w:szCs w:val="28"/>
        </w:rPr>
        <w:lastRenderedPageBreak/>
        <w:t>4.</w:t>
      </w:r>
      <w:r w:rsidRPr="00B961B3">
        <w:rPr>
          <w:rFonts w:cs="Arial"/>
          <w:b/>
          <w:bCs/>
          <w:sz w:val="28"/>
          <w:szCs w:val="28"/>
        </w:rPr>
        <w:tab/>
      </w:r>
      <w:r w:rsidR="00826EF2" w:rsidRPr="00B961B3">
        <w:rPr>
          <w:rFonts w:cs="Arial"/>
          <w:b/>
          <w:bCs/>
          <w:sz w:val="28"/>
          <w:szCs w:val="28"/>
        </w:rPr>
        <w:t>Program działań</w:t>
      </w:r>
      <w:r w:rsidRPr="00B961B3">
        <w:rPr>
          <w:rFonts w:cs="Arial"/>
          <w:b/>
          <w:bCs/>
          <w:sz w:val="28"/>
          <w:szCs w:val="28"/>
        </w:rPr>
        <w:t xml:space="preserve"> inwestycyjnych</w:t>
      </w:r>
      <w:r w:rsidR="00826EF2" w:rsidRPr="00B961B3">
        <w:rPr>
          <w:rFonts w:cs="Arial"/>
          <w:b/>
          <w:bCs/>
          <w:sz w:val="28"/>
          <w:szCs w:val="28"/>
        </w:rPr>
        <w:t xml:space="preserve"> na rzecz poprawy efektywności energetycznej i redukcji emisji gazów cieplarnianych </w:t>
      </w:r>
      <w:r w:rsidR="00DC4A11" w:rsidRPr="00B961B3">
        <w:rPr>
          <w:b/>
          <w:bCs/>
          <w:sz w:val="28"/>
          <w:szCs w:val="28"/>
        </w:rPr>
        <w:t xml:space="preserve">do roku 2020 </w:t>
      </w:r>
    </w:p>
    <w:p w:rsidR="00CC7276" w:rsidRPr="00D40267" w:rsidRDefault="00CC7276" w:rsidP="00D40267">
      <w:pPr>
        <w:pStyle w:val="Akapitzlist"/>
        <w:numPr>
          <w:ilvl w:val="0"/>
          <w:numId w:val="0"/>
        </w:numPr>
        <w:spacing w:before="360" w:after="200" w:line="276" w:lineRule="auto"/>
        <w:ind w:left="284"/>
        <w:contextualSpacing w:val="0"/>
        <w:rPr>
          <w:rFonts w:cs="Arial"/>
          <w:b/>
          <w:bCs/>
          <w:color w:val="000000" w:themeColor="text1"/>
          <w:u w:val="single"/>
        </w:rPr>
      </w:pPr>
      <w:r w:rsidRPr="00D40267">
        <w:rPr>
          <w:rFonts w:cs="Arial"/>
          <w:b/>
          <w:bCs/>
          <w:color w:val="000000" w:themeColor="text1"/>
          <w:u w:val="single"/>
        </w:rPr>
        <w:t>4.1</w:t>
      </w:r>
      <w:r w:rsidRPr="00D40267">
        <w:rPr>
          <w:rFonts w:cs="Arial"/>
          <w:b/>
          <w:bCs/>
          <w:color w:val="000000" w:themeColor="text1"/>
          <w:u w:val="single"/>
        </w:rPr>
        <w:tab/>
      </w:r>
      <w:r w:rsidR="00E72BD8">
        <w:rPr>
          <w:rFonts w:cs="Arial"/>
          <w:b/>
          <w:bCs/>
          <w:color w:val="000000" w:themeColor="text1"/>
          <w:u w:val="single"/>
        </w:rPr>
        <w:t>Działania i</w:t>
      </w:r>
      <w:r w:rsidR="00826EF2" w:rsidRPr="00D40267">
        <w:rPr>
          <w:rFonts w:cs="Arial"/>
          <w:b/>
          <w:bCs/>
          <w:color w:val="000000" w:themeColor="text1"/>
          <w:u w:val="single"/>
        </w:rPr>
        <w:t>nwestycyjne</w:t>
      </w:r>
    </w:p>
    <w:p w:rsidR="00C21579" w:rsidRDefault="00826EF2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Szczegółowe zestawienie zaplanowanych działań inwestycyjnych na okres objęty planem, </w:t>
      </w:r>
      <w:r w:rsidR="00C21579">
        <w:rPr>
          <w:rFonts w:cs="Arial"/>
          <w:bCs/>
          <w:color w:val="000000" w:themeColor="text1"/>
        </w:rPr>
        <w:t>z podziałem na perspektywę krótkoterminową, śred</w:t>
      </w:r>
      <w:r w:rsidR="00E72BD8">
        <w:rPr>
          <w:rFonts w:cs="Arial"/>
          <w:bCs/>
          <w:color w:val="000000" w:themeColor="text1"/>
        </w:rPr>
        <w:t xml:space="preserve">niookresową oraz długookresową </w:t>
      </w:r>
      <w:r w:rsidR="00C21579">
        <w:rPr>
          <w:rFonts w:cs="Arial"/>
          <w:bCs/>
          <w:color w:val="000000" w:themeColor="text1"/>
        </w:rPr>
        <w:t xml:space="preserve">przedstawiono w rozdziale </w:t>
      </w:r>
      <w:r w:rsidR="00E72BD8">
        <w:rPr>
          <w:rFonts w:cs="Arial"/>
          <w:bCs/>
          <w:color w:val="000000" w:themeColor="text1"/>
        </w:rPr>
        <w:t>4.3</w:t>
      </w:r>
      <w:r w:rsidR="00C21579">
        <w:rPr>
          <w:rFonts w:cs="Arial"/>
          <w:bCs/>
          <w:color w:val="000000" w:themeColor="text1"/>
        </w:rPr>
        <w:t xml:space="preserve"> w postaci harmonogramu rzeczowo –finansowego</w:t>
      </w:r>
      <w:r w:rsidR="003C3B63">
        <w:rPr>
          <w:rFonts w:cs="Arial"/>
          <w:bCs/>
          <w:color w:val="000000" w:themeColor="text1"/>
        </w:rPr>
        <w:t xml:space="preserve"> zawierającego: </w:t>
      </w:r>
    </w:p>
    <w:p w:rsidR="00C21579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nazwę zadania,</w:t>
      </w:r>
    </w:p>
    <w:p w:rsidR="003C3B63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wskazanie perspektywy czasowej (krótkoterminową do realizacji w latach 2014-2015, średniookresową do 2018 roku oraz długookresową do 2020 roku),</w:t>
      </w:r>
    </w:p>
    <w:p w:rsidR="003C3B63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jednostkę odpowiedzialną za realizację,</w:t>
      </w:r>
    </w:p>
    <w:p w:rsidR="003C3B63" w:rsidRDefault="00E338EF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planowany </w:t>
      </w:r>
      <w:r w:rsidR="003C3B63">
        <w:rPr>
          <w:rFonts w:cs="Arial"/>
          <w:bCs/>
          <w:color w:val="000000" w:themeColor="text1"/>
        </w:rPr>
        <w:t>termin realizacji</w:t>
      </w:r>
      <w:r w:rsidR="005D69E7">
        <w:rPr>
          <w:rFonts w:cs="Arial"/>
          <w:bCs/>
          <w:color w:val="000000" w:themeColor="text1"/>
        </w:rPr>
        <w:t>,</w:t>
      </w:r>
    </w:p>
    <w:p w:rsidR="003C3B63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szacunkowe nakłady finansowe</w:t>
      </w:r>
      <w:r w:rsidR="005D69E7">
        <w:rPr>
          <w:rFonts w:cs="Arial"/>
          <w:bCs/>
          <w:color w:val="000000" w:themeColor="text1"/>
        </w:rPr>
        <w:t>,</w:t>
      </w:r>
    </w:p>
    <w:p w:rsidR="003C3B63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przewidywany efekt redukcji CO</w:t>
      </w:r>
      <w:r w:rsidRPr="003C3B63">
        <w:rPr>
          <w:rFonts w:cs="Arial"/>
          <w:bCs/>
          <w:color w:val="000000" w:themeColor="text1"/>
          <w:vertAlign w:val="subscript"/>
        </w:rPr>
        <w:t xml:space="preserve">2 </w:t>
      </w:r>
      <w:r>
        <w:rPr>
          <w:rFonts w:cs="Arial"/>
          <w:bCs/>
          <w:color w:val="000000" w:themeColor="text1"/>
        </w:rPr>
        <w:t>[Mg/rok]</w:t>
      </w:r>
      <w:r w:rsidR="005D69E7">
        <w:rPr>
          <w:rFonts w:cs="Arial"/>
          <w:bCs/>
          <w:color w:val="000000" w:themeColor="text1"/>
        </w:rPr>
        <w:t>,</w:t>
      </w:r>
    </w:p>
    <w:p w:rsidR="003C3B63" w:rsidRDefault="003C3B63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przewidywany efekt obniżenia zużycia energii </w:t>
      </w:r>
      <w:r w:rsidR="00E338EF">
        <w:rPr>
          <w:rFonts w:cs="Arial"/>
          <w:bCs/>
          <w:color w:val="000000" w:themeColor="text1"/>
        </w:rPr>
        <w:t>[MWh/rok]</w:t>
      </w:r>
      <w:r w:rsidR="005D69E7">
        <w:rPr>
          <w:rFonts w:cs="Arial"/>
          <w:bCs/>
          <w:color w:val="000000" w:themeColor="text1"/>
        </w:rPr>
        <w:t>,</w:t>
      </w:r>
    </w:p>
    <w:p w:rsidR="00E338EF" w:rsidRDefault="00E338EF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możliwe źródła finansowania</w:t>
      </w:r>
      <w:r w:rsidR="005D69E7">
        <w:rPr>
          <w:rFonts w:cs="Arial"/>
          <w:bCs/>
          <w:color w:val="000000" w:themeColor="text1"/>
        </w:rPr>
        <w:t>,</w:t>
      </w:r>
    </w:p>
    <w:p w:rsidR="00E338EF" w:rsidRDefault="00E338EF" w:rsidP="003C3B63">
      <w:pPr>
        <w:pStyle w:val="Akapitzlist"/>
        <w:numPr>
          <w:ilvl w:val="0"/>
          <w:numId w:val="22"/>
        </w:numPr>
        <w:spacing w:before="240" w:after="200" w:line="276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miernik monitorowania realizacji działania.</w:t>
      </w:r>
    </w:p>
    <w:p w:rsidR="00C21579" w:rsidRDefault="00C21579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</w:p>
    <w:p w:rsidR="00E72BD8" w:rsidRPr="00D40267" w:rsidRDefault="00E72BD8" w:rsidP="00E72BD8">
      <w:pPr>
        <w:pStyle w:val="Akapitzlist"/>
        <w:numPr>
          <w:ilvl w:val="0"/>
          <w:numId w:val="0"/>
        </w:numPr>
        <w:spacing w:before="360" w:after="200" w:line="276" w:lineRule="auto"/>
        <w:ind w:left="284"/>
        <w:contextualSpacing w:val="0"/>
        <w:rPr>
          <w:rFonts w:cs="Arial"/>
          <w:b/>
          <w:bCs/>
          <w:color w:val="000000" w:themeColor="text1"/>
          <w:u w:val="single"/>
        </w:rPr>
      </w:pPr>
      <w:r w:rsidRPr="00D40267">
        <w:rPr>
          <w:rFonts w:cs="Arial"/>
          <w:b/>
          <w:bCs/>
          <w:color w:val="000000" w:themeColor="text1"/>
          <w:u w:val="single"/>
        </w:rPr>
        <w:t>4.</w:t>
      </w:r>
      <w:r>
        <w:rPr>
          <w:rFonts w:cs="Arial"/>
          <w:b/>
          <w:bCs/>
          <w:color w:val="000000" w:themeColor="text1"/>
          <w:u w:val="single"/>
        </w:rPr>
        <w:t>2</w:t>
      </w:r>
      <w:r w:rsidRPr="00D40267">
        <w:rPr>
          <w:rFonts w:cs="Arial"/>
          <w:b/>
          <w:bCs/>
          <w:color w:val="000000" w:themeColor="text1"/>
          <w:u w:val="single"/>
        </w:rPr>
        <w:tab/>
        <w:t xml:space="preserve">Działania </w:t>
      </w:r>
      <w:r>
        <w:rPr>
          <w:rFonts w:cs="Arial"/>
          <w:b/>
          <w:bCs/>
          <w:color w:val="000000" w:themeColor="text1"/>
          <w:u w:val="single"/>
        </w:rPr>
        <w:t>niei</w:t>
      </w:r>
      <w:r w:rsidRPr="00D40267">
        <w:rPr>
          <w:rFonts w:cs="Arial"/>
          <w:b/>
          <w:bCs/>
          <w:color w:val="000000" w:themeColor="text1"/>
          <w:u w:val="single"/>
        </w:rPr>
        <w:t>nwestycyjne</w:t>
      </w:r>
    </w:p>
    <w:p w:rsidR="00CC7276" w:rsidRDefault="00E72BD8" w:rsidP="00E72BD8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Szczegółowe zestawienie zaplanowanych działań nieinwestycyjnych na okres objęty planem przedstawiono w rozdziale 4.3 w postaci harmonogramu rzeczowo –finansowego</w:t>
      </w:r>
    </w:p>
    <w:p w:rsidR="00E72BD8" w:rsidRDefault="00E72BD8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</w:p>
    <w:p w:rsidR="00E72BD8" w:rsidRDefault="00E72BD8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</w:p>
    <w:p w:rsidR="00E72BD8" w:rsidRDefault="00E72BD8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</w:p>
    <w:p w:rsidR="00E338EF" w:rsidRDefault="00E338EF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  <w:color w:val="000000" w:themeColor="text1"/>
        </w:rPr>
      </w:pPr>
    </w:p>
    <w:p w:rsidR="00E338EF" w:rsidRDefault="00E338EF" w:rsidP="00E338EF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  <w:color w:val="000000" w:themeColor="text1"/>
        </w:rPr>
        <w:sectPr w:rsidR="00E338E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6CF" w:rsidRPr="00D40267" w:rsidRDefault="00D40267" w:rsidP="00E338EF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/>
          <w:bCs/>
          <w:u w:val="single"/>
        </w:rPr>
      </w:pPr>
      <w:r w:rsidRPr="00D40267">
        <w:rPr>
          <w:rFonts w:cs="Arial"/>
          <w:b/>
          <w:bCs/>
          <w:color w:val="000000" w:themeColor="text1"/>
          <w:u w:val="single"/>
        </w:rPr>
        <w:lastRenderedPageBreak/>
        <w:t>4.</w:t>
      </w:r>
      <w:r w:rsidR="00E72BD8">
        <w:rPr>
          <w:rFonts w:cs="Arial"/>
          <w:b/>
          <w:bCs/>
          <w:color w:val="000000" w:themeColor="text1"/>
          <w:u w:val="single"/>
        </w:rPr>
        <w:t>3</w:t>
      </w:r>
      <w:r w:rsidRPr="00D40267">
        <w:rPr>
          <w:rFonts w:cs="Arial"/>
          <w:b/>
          <w:bCs/>
          <w:color w:val="000000" w:themeColor="text1"/>
          <w:u w:val="single"/>
        </w:rPr>
        <w:t>.</w:t>
      </w:r>
      <w:r w:rsidR="00CC7276" w:rsidRPr="00D40267">
        <w:rPr>
          <w:rFonts w:cs="Arial"/>
          <w:b/>
          <w:bCs/>
          <w:color w:val="000000" w:themeColor="text1"/>
          <w:u w:val="single"/>
        </w:rPr>
        <w:tab/>
      </w:r>
      <w:r w:rsidR="00DC4A11" w:rsidRPr="00D40267">
        <w:rPr>
          <w:rFonts w:cs="Arial"/>
          <w:b/>
          <w:bCs/>
          <w:u w:val="single"/>
        </w:rPr>
        <w:t>Harmonogram rzeczowo-finansowy działań inwestycyjnych na terenie Sopotu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903"/>
        <w:gridCol w:w="1289"/>
        <w:gridCol w:w="1531"/>
        <w:gridCol w:w="1301"/>
        <w:gridCol w:w="1327"/>
        <w:gridCol w:w="1483"/>
        <w:gridCol w:w="1701"/>
        <w:gridCol w:w="1134"/>
        <w:gridCol w:w="1574"/>
      </w:tblGrid>
      <w:tr w:rsidR="00563D02" w:rsidRPr="00563D02" w:rsidTr="00563D02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bookmarkStart w:id="3" w:name="RANGE!A1:J28"/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l.p.</w:t>
            </w:r>
            <w:bookmarkEnd w:id="3"/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perspektywa działania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jednostka odpowiedzialna za realizację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planowany termin realizacji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szacunkowe nakłady finansowe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przewidywany efekt redukcji CO2 [MG/rok]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przewidywany efekt obniżenia zużycia energii [MWh/rok]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możliwe źródła finansowania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miernik monitorowania realizacji działania.</w:t>
            </w:r>
          </w:p>
        </w:tc>
      </w:tr>
      <w:tr w:rsidR="00563D02" w:rsidRPr="00563D02" w:rsidTr="00563D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ENERGETYKA</w:t>
            </w:r>
          </w:p>
        </w:tc>
      </w:tr>
      <w:tr w:rsidR="00563D02" w:rsidRPr="00563D02" w:rsidTr="00563D0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Podłączenie nowych odbiorców ciepła z wysokosprawnej kogeneracji poprzez budowę  sieci ciepłowniczej w Górnym Sopocie wraz z likwidacją ciepłowni Brodwino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krótkookresowa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GPEC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51 000 000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23</w:t>
            </w:r>
            <w:r w:rsidR="00843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3D02">
              <w:rPr>
                <w:rFonts w:ascii="Arial Narrow" w:hAnsi="Arial Narrow"/>
                <w:sz w:val="20"/>
                <w:szCs w:val="20"/>
              </w:rPr>
              <w:t>749,99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116 995,00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środki własne GPEC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D02">
              <w:rPr>
                <w:rFonts w:ascii="Arial Narrow" w:hAnsi="Arial Narrow"/>
                <w:sz w:val="18"/>
                <w:szCs w:val="18"/>
              </w:rPr>
              <w:t>Długość wybudowanej lub zmodernizowanej sieci ciepłowniczej w km</w:t>
            </w:r>
          </w:p>
        </w:tc>
      </w:tr>
      <w:tr w:rsidR="00563D02" w:rsidRPr="00563D02" w:rsidTr="00563D0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Podłą</w:t>
            </w: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czenie nowych odbiorców ciepła z wysokosprawnej kogeneracji poprzez rozbudowę miejskiej sieci ciepłowniczej w rejonie ul. Chopina i Kościuszki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krótkookresowa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GPEC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brak danych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zmiana nośnika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środki własne GPEC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Długość wybudowanej lub zmodernizowanej sieci ciepłowniczej w km</w:t>
            </w:r>
          </w:p>
        </w:tc>
      </w:tr>
      <w:tr w:rsidR="00563D02" w:rsidRPr="00563D02" w:rsidTr="00563D02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Eliminacja węglowych  źródeł ciepła poprzez system dopłat dla mieszkańców do wymiany na gaz lub przyłączenie się do miejskiej sieci ciepłowniczej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</w:t>
            </w:r>
          </w:p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MIESZKAŃCY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2014-2020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4 400 000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zmiana nośnika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Gmina /WFOŚiGW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udzielonych dotacji/ ilość zlikwidowanych piecy węglowych</w:t>
            </w:r>
          </w:p>
        </w:tc>
      </w:tr>
      <w:tr w:rsidR="00563D02" w:rsidRPr="00563D02" w:rsidTr="00563D02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Podłączenie nowych odbiorców ciepła z wysokosprawnej kogeneracji poprzez rozbudowę  sieci ciepłowniczej w Dolnym Sopocie wraz z modernizacją istniejącego powierzchniowego odcinka sieci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GPEC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2016-2017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11 300 000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779,86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84310A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3</w:t>
            </w:r>
            <w:r w:rsidR="008431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3D02">
              <w:rPr>
                <w:rFonts w:ascii="Arial Narrow" w:hAnsi="Arial Narrow"/>
                <w:sz w:val="20"/>
                <w:szCs w:val="20"/>
              </w:rPr>
              <w:t xml:space="preserve">841,67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RPO WP/środki własne GPEC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D02">
              <w:rPr>
                <w:rFonts w:ascii="Arial Narrow" w:hAnsi="Arial Narrow"/>
                <w:sz w:val="18"/>
                <w:szCs w:val="18"/>
              </w:rPr>
              <w:t>liczba nowych podłączeń i długość wybudowanej lub zmodernizowanej sieci ciepłowniczej w km</w:t>
            </w:r>
          </w:p>
        </w:tc>
      </w:tr>
      <w:tr w:rsidR="00563D02" w:rsidRPr="00563D02" w:rsidTr="00563D02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 xml:space="preserve">Kompleksowa modernizacja energetyczna budynków użyteczności publicznej w Sopocie wraz z wprowadzeniem systemu zarządzania energią  z monitoringiem i automatycznym sterowaniem  - planuje się objęcie projektem  24 budynki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2015-2020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30 000 000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708,7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2 186,76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Gmina/ZIT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D02">
              <w:rPr>
                <w:rFonts w:ascii="Arial Narrow" w:hAnsi="Arial Narrow"/>
                <w:sz w:val="18"/>
                <w:szCs w:val="18"/>
              </w:rPr>
              <w:t>Liczba budynków poddanych termomodernizacji</w:t>
            </w:r>
          </w:p>
        </w:tc>
      </w:tr>
      <w:tr w:rsidR="00563D02" w:rsidRPr="00563D02" w:rsidTr="00563D02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 xml:space="preserve">Przeprowadzenie remontu i  termomodernizacji zabytkowego budynku Ratusza Miejskiego wraz z wprowadzeniem systemu zarządzania energią z monitoringiem i automatycznym sterowaniem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długookresowa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2017-2020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19 500 000 zł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33,42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Gmina/ ZIT/ Fundusz Municipalny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D02">
              <w:rPr>
                <w:rFonts w:ascii="Arial Narrow" w:hAnsi="Arial Narrow"/>
                <w:sz w:val="18"/>
                <w:szCs w:val="18"/>
              </w:rPr>
              <w:t>% zrealizowanego projektu</w:t>
            </w:r>
          </w:p>
        </w:tc>
      </w:tr>
      <w:tr w:rsidR="00563D02" w:rsidRPr="00563D02" w:rsidTr="00563D0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Modernizacja oświetlenia ulicznego w Sopocie z zastosowaniem najnowszych technologii realizowana w partnerstwie z ERGO ARENĄ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GMINA/ERGO ARENA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11 000 000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RPO WP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sztuk nowych źródeł oświetlenia LED</w:t>
            </w:r>
          </w:p>
        </w:tc>
      </w:tr>
      <w:tr w:rsidR="00563D02" w:rsidRPr="00563D02" w:rsidTr="00563D02">
        <w:trPr>
          <w:trHeight w:val="255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BUDOWNICTWO</w:t>
            </w:r>
          </w:p>
        </w:tc>
      </w:tr>
      <w:tr w:rsidR="00563D02" w:rsidRPr="00563D02" w:rsidTr="00563D02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Budowa nowego budynku dla służb miejskich   z maksymalnym wykorzystaniem  technologii dla budynku pasywnego - wraz z budową miejskiego Punktu Selektywnej Zbiórki Odpadów Komunalnych (PSZOK) i likwidacją dotychczasowych budynków.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32 000 000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 /ZIT /Fundusz Municipalny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% zrealizowanego projektu</w:t>
            </w:r>
          </w:p>
        </w:tc>
      </w:tr>
      <w:tr w:rsidR="00563D02" w:rsidRPr="00563D02" w:rsidTr="00563D02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Rozwój instalacji OZE poprzez mechanizm wsparcia dla mieszkańców w ramach systemu dopłat do instalacji kolektorów słonecznych, ogniw fotowoltaicznych i instalacji pomp ciepła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GMINA/MIESZKAŃCY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brak danych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 xml:space="preserve">Liczba dofinansowanych działań z zakresu efektywności energetycznej/ ilość KW zainstalowanej mocy ogniw fotowoltaicznych/pomp ciepła/ powierzchnia zamontowanych kolektorów słonecznych </w:t>
            </w:r>
          </w:p>
        </w:tc>
      </w:tr>
      <w:tr w:rsidR="00563D02" w:rsidRPr="00563D02" w:rsidTr="00563D02">
        <w:trPr>
          <w:trHeight w:val="1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Kompleksowa modernizacja energetyczna budynków mieszkalnych spółdzielczych oraz wspólnot mieszkaniowych  wraz z instalacja sysemów OZE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SPÓŁDZIELNIE MISZKANIOWE/ WSPÓLNOTY MIESZKANIOWE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600 000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843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9 062,00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środki własne spółdzielni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%  zrealizowanego projektu</w:t>
            </w:r>
          </w:p>
        </w:tc>
      </w:tr>
      <w:tr w:rsidR="00563D02" w:rsidRPr="00563D02" w:rsidTr="00563D02">
        <w:trPr>
          <w:trHeight w:val="495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TRANSPORT</w:t>
            </w:r>
          </w:p>
        </w:tc>
      </w:tr>
      <w:tr w:rsidR="00563D02" w:rsidRPr="00563D02" w:rsidTr="00563D02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 xml:space="preserve">Wdrożenie Zintegrowanego Systemu Zarządzania Ruchem - na terenie Sopotu - "TRISTAR" (Trójmiejski Inteligentny System Transportu Aglomeracjnego)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krótkookresowa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8 000 000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843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RPO WP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 xml:space="preserve">usprawnienie ruchu/usprawnienie transportu zbiorowego </w:t>
            </w:r>
          </w:p>
        </w:tc>
      </w:tr>
      <w:tr w:rsidR="00563D02" w:rsidRPr="00563D02" w:rsidTr="00563D02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Ograniczenie emisji CO</w:t>
            </w:r>
            <w:r w:rsidRPr="00563D02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563D02">
              <w:rPr>
                <w:rFonts w:ascii="Arial Narrow" w:hAnsi="Arial Narrow"/>
                <w:sz w:val="20"/>
                <w:szCs w:val="20"/>
              </w:rPr>
              <w:t xml:space="preserve"> w sektorze transportowym  - poprzez wprowadzenie w zamówieniach publicznych na wybór operatora obsługującego transport lokalny wymóg posiadania pojazdów o napedzie hybrydowym.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ZTM/ZKM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Licza pojazdów o napędzie hybrydowym obsługujacych transport lokalny</w:t>
            </w:r>
          </w:p>
        </w:tc>
      </w:tr>
      <w:tr w:rsidR="00563D02" w:rsidRPr="00563D02" w:rsidTr="00563D02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Budowa na terenie Sopotu odcinka  międzynarodowej trasy rowerowej R10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9 000 000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RPO WP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%  zrealizowanego projektu</w:t>
            </w:r>
          </w:p>
        </w:tc>
      </w:tr>
      <w:tr w:rsidR="00563D02" w:rsidRPr="00563D02" w:rsidTr="00563D0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Budowa węzła integracyjnego Sopot Kamienny Potok wraz z trasami dojazdowymi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23 000 000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RPO WP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 km tras dojazdowych</w:t>
            </w:r>
          </w:p>
        </w:tc>
      </w:tr>
      <w:tr w:rsidR="00563D02" w:rsidRPr="00563D02" w:rsidTr="00563D02">
        <w:trPr>
          <w:trHeight w:val="16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 xml:space="preserve">Mobilny Sopot - Budowa i modernizacja  ciągów pieszych i rowerowych, realizowana w celu polepszenia funkcjonalności, usprawnienia i uzupełnienie istniejącej sieci dróg pieszych i rowerowych wraz zbudową parkingów dla rowerów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8 000 000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Gmina/RPO WP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km ciągów pieszych ,  tras rowerowych i liczba wybudowanych parkingów dla rowerów.</w:t>
            </w:r>
          </w:p>
        </w:tc>
      </w:tr>
      <w:tr w:rsidR="00563D02" w:rsidRPr="00563D02" w:rsidTr="00563D02">
        <w:trPr>
          <w:trHeight w:val="39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ODPADY</w:t>
            </w:r>
          </w:p>
        </w:tc>
      </w:tr>
      <w:tr w:rsidR="00563D02" w:rsidRPr="00563D02" w:rsidTr="0084310A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Zakup 7 niskoemisyjnych  pojazdów specjalistycznych do obsługi systemu odbioru odpadów komunalnych i sprzątania ulic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7 800 000 zł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 WFOŚ/ NFOŚ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zakupionych pojazdów</w:t>
            </w:r>
          </w:p>
        </w:tc>
      </w:tr>
      <w:tr w:rsidR="00563D02" w:rsidRPr="00563D02" w:rsidTr="0084310A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63D02">
              <w:rPr>
                <w:rFonts w:ascii="Arial Narrow" w:hAnsi="Arial Narrow"/>
                <w:sz w:val="20"/>
                <w:szCs w:val="20"/>
              </w:rPr>
              <w:t>Budowa instalacji do tankowania CNG dla pojazdów służb miejskich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długookresowa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300 000 zł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 WFOŚ/ NFOŚ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% zrealizowanego projektu</w:t>
            </w:r>
          </w:p>
        </w:tc>
      </w:tr>
      <w:tr w:rsidR="00563D02" w:rsidRPr="00563D02" w:rsidTr="0084310A">
        <w:trPr>
          <w:trHeight w:val="375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EUKACJA</w:t>
            </w:r>
          </w:p>
        </w:tc>
      </w:tr>
      <w:tr w:rsidR="00563D02" w:rsidRPr="00563D02" w:rsidTr="00563D02">
        <w:trPr>
          <w:trHeight w:val="16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Wprowadzenie do zapisów w planach zagospodarowania przestrzennego wymogów z zakresie zaopatrzenia w ciepło z źródeł niskoemisyjnych, odnawialnych lub z msc.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ciągły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Liczba planów zagosp. przestrzennego zawierająca zapisy promujące ekoprojektowanie i efektywność energetyczną</w:t>
            </w:r>
          </w:p>
        </w:tc>
      </w:tr>
      <w:tr w:rsidR="00563D02" w:rsidRPr="00563D02" w:rsidTr="00563D0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Kontynuacja prowadzenia z innymi gminami wspólnej polityki zamówień publicznych na dostawę energii elektrycznej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ciągły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Umowa na dostawę energii elektrycznej</w:t>
            </w:r>
          </w:p>
        </w:tc>
      </w:tr>
      <w:tr w:rsidR="00563D02" w:rsidRPr="00563D02" w:rsidTr="0084310A">
        <w:trPr>
          <w:trHeight w:val="1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Promocja działań w zakresie ekologiczno zdrowotnym oraz zwiększanie potencjału świadomości ekologiczno zdrowotnej mieszkańców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ciągły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Gmina/przedsiebiorcy sektora medycznego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>ilość przeprowadzonych programów/  akcji informacyjnych, edukacyjnych lub promocyjnych</w:t>
            </w:r>
          </w:p>
        </w:tc>
      </w:tr>
      <w:tr w:rsidR="00563D02" w:rsidRPr="00563D02" w:rsidTr="00563D02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Organizacja i wspieranie działań szkoleniowo informacyjnych w zakresie poprawy efektywności energetycznej i poszanowania energii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ciągły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>2015-2020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63D02">
              <w:rPr>
                <w:rFonts w:ascii="Arial Narrow" w:hAnsi="Arial Narrow"/>
                <w:color w:val="000000"/>
                <w:sz w:val="18"/>
                <w:szCs w:val="18"/>
              </w:rPr>
              <w:t xml:space="preserve">liczba działań szkoleniowo informacyjnych </w:t>
            </w:r>
          </w:p>
        </w:tc>
      </w:tr>
      <w:tr w:rsidR="00563D02" w:rsidRPr="00CC443E" w:rsidTr="00CC443E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32 214,36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131 938,68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3D02" w:rsidRPr="00563D02" w:rsidRDefault="00563D02" w:rsidP="00563D02">
            <w:pPr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D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E338EF" w:rsidRPr="00563D02" w:rsidRDefault="00E338EF" w:rsidP="00563D02">
      <w:pPr>
        <w:pStyle w:val="Akapitzlist"/>
        <w:numPr>
          <w:ilvl w:val="0"/>
          <w:numId w:val="0"/>
        </w:numPr>
        <w:spacing w:before="240" w:after="200" w:line="276" w:lineRule="auto"/>
        <w:rPr>
          <w:rFonts w:ascii="Arial Narrow" w:hAnsi="Arial Narrow" w:cs="Arial"/>
          <w:bCs/>
          <w:sz w:val="20"/>
          <w:szCs w:val="20"/>
        </w:rPr>
      </w:pPr>
    </w:p>
    <w:p w:rsidR="00CC7276" w:rsidRDefault="00CC7276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</w:rPr>
      </w:pPr>
    </w:p>
    <w:p w:rsidR="00CC7276" w:rsidRDefault="00CC7276" w:rsidP="00CC7276">
      <w:pPr>
        <w:pStyle w:val="Akapitzlist"/>
        <w:numPr>
          <w:ilvl w:val="0"/>
          <w:numId w:val="0"/>
        </w:numPr>
        <w:spacing w:before="240" w:after="200" w:line="276" w:lineRule="auto"/>
        <w:ind w:left="720"/>
        <w:rPr>
          <w:rFonts w:cs="Arial"/>
          <w:bCs/>
        </w:rPr>
      </w:pPr>
    </w:p>
    <w:p w:rsidR="00E338EF" w:rsidRDefault="00E338EF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  <w:color w:val="FF0000"/>
        </w:rPr>
        <w:sectPr w:rsidR="00E338EF" w:rsidSect="00E338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C4A11" w:rsidRPr="00CC443E" w:rsidRDefault="00D4026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CC443E">
        <w:rPr>
          <w:rFonts w:cs="Arial"/>
          <w:b/>
          <w:bCs/>
          <w:color w:val="000000" w:themeColor="text1"/>
          <w:u w:val="single"/>
        </w:rPr>
        <w:lastRenderedPageBreak/>
        <w:t>4.</w:t>
      </w:r>
      <w:r w:rsidR="00E72BD8" w:rsidRPr="00CC443E">
        <w:rPr>
          <w:rFonts w:cs="Arial"/>
          <w:b/>
          <w:bCs/>
          <w:color w:val="000000" w:themeColor="text1"/>
          <w:u w:val="single"/>
        </w:rPr>
        <w:t>4</w:t>
      </w:r>
      <w:r w:rsidR="00DC4A11" w:rsidRPr="00CC443E">
        <w:rPr>
          <w:rFonts w:cs="Arial"/>
          <w:b/>
          <w:bCs/>
          <w:color w:val="000000" w:themeColor="text1"/>
          <w:u w:val="single"/>
        </w:rPr>
        <w:tab/>
      </w:r>
      <w:r w:rsidR="00CC7276" w:rsidRPr="00CC443E">
        <w:rPr>
          <w:rFonts w:cs="Arial"/>
          <w:b/>
          <w:bCs/>
          <w:color w:val="000000" w:themeColor="text1"/>
          <w:u w:val="single"/>
        </w:rPr>
        <w:t xml:space="preserve">Uzyskany efekt ekologiczny </w:t>
      </w:r>
    </w:p>
    <w:p w:rsidR="00F6278A" w:rsidRDefault="00F6278A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p w:rsidR="00595FA7" w:rsidRDefault="00F6278A" w:rsidP="0018102C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</w:rPr>
      </w:pPr>
      <w:r w:rsidRPr="002B058D">
        <w:rPr>
          <w:rFonts w:cs="Arial"/>
          <w:bCs/>
        </w:rPr>
        <w:t>W związku z faktem znikomego wpływu Urzędu Miasta na podmioty gospodarcze świadczące</w:t>
      </w:r>
      <w:r>
        <w:rPr>
          <w:rFonts w:cs="Arial"/>
          <w:bCs/>
        </w:rPr>
        <w:t xml:space="preserve"> rozmaite usług</w:t>
      </w:r>
      <w:r w:rsidR="00F97CFE">
        <w:rPr>
          <w:rFonts w:cs="Arial"/>
          <w:bCs/>
        </w:rPr>
        <w:t xml:space="preserve"> jak również brak wpływu na transport prywatny</w:t>
      </w:r>
      <w:r>
        <w:rPr>
          <w:rFonts w:cs="Arial"/>
          <w:bCs/>
        </w:rPr>
        <w:t>, u</w:t>
      </w:r>
      <w:r w:rsidR="00595FA7">
        <w:rPr>
          <w:rFonts w:cs="Arial"/>
          <w:bCs/>
        </w:rPr>
        <w:t>zyskany efekt ekologiczny przedstawiono w dwóch wariantach.</w:t>
      </w:r>
      <w:r>
        <w:rPr>
          <w:rFonts w:cs="Arial"/>
          <w:bCs/>
        </w:rPr>
        <w:t xml:space="preserve"> </w:t>
      </w:r>
    </w:p>
    <w:p w:rsidR="00F02085" w:rsidRDefault="00F02085" w:rsidP="0018102C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>W pierwszym wariancie z obliczenia celu redukcji wyłącz</w:t>
      </w:r>
      <w:r w:rsidR="00632100">
        <w:rPr>
          <w:rFonts w:cs="Arial"/>
          <w:bCs/>
        </w:rPr>
        <w:t>a</w:t>
      </w:r>
      <w:r>
        <w:rPr>
          <w:rFonts w:cs="Arial"/>
          <w:bCs/>
        </w:rPr>
        <w:t xml:space="preserve"> została </w:t>
      </w:r>
      <w:r w:rsidR="00632100">
        <w:rPr>
          <w:rFonts w:cs="Arial"/>
          <w:bCs/>
        </w:rPr>
        <w:t xml:space="preserve">grupa obejmująca podmioty gospodarcze świadczące usługi. W przyjętym </w:t>
      </w:r>
      <w:r w:rsidR="00632100" w:rsidRPr="00632100">
        <w:rPr>
          <w:rFonts w:cs="Arial"/>
          <w:bCs/>
          <w:i/>
        </w:rPr>
        <w:t>Plani</w:t>
      </w:r>
      <w:r w:rsidR="00632100">
        <w:rPr>
          <w:rFonts w:cs="Arial"/>
          <w:bCs/>
          <w:i/>
        </w:rPr>
        <w:t>e</w:t>
      </w:r>
      <w:r w:rsidR="00632100" w:rsidRPr="00632100">
        <w:rPr>
          <w:rFonts w:cs="Arial"/>
          <w:bCs/>
          <w:i/>
        </w:rPr>
        <w:t xml:space="preserve"> gospodarki niskoemisyjnej dla Gminy Miasta Sopotu</w:t>
      </w:r>
      <w:r w:rsidR="00632100">
        <w:rPr>
          <w:rFonts w:cs="Arial"/>
          <w:bCs/>
        </w:rPr>
        <w:t>, w rozdziale</w:t>
      </w:r>
      <w:r w:rsidR="00DC49E6">
        <w:rPr>
          <w:rFonts w:cs="Arial"/>
          <w:bCs/>
        </w:rPr>
        <w:t xml:space="preserve"> 4</w:t>
      </w:r>
      <w:r w:rsidR="00632100">
        <w:rPr>
          <w:rFonts w:cs="Arial"/>
          <w:bCs/>
        </w:rPr>
        <w:t xml:space="preserve"> przedstawi</w:t>
      </w:r>
      <w:r w:rsidR="00DC49E6">
        <w:rPr>
          <w:rFonts w:cs="Arial"/>
          <w:bCs/>
        </w:rPr>
        <w:t>ono</w:t>
      </w:r>
      <w:r w:rsidR="00632100">
        <w:rPr>
          <w:rFonts w:cs="Arial"/>
          <w:bCs/>
        </w:rPr>
        <w:t xml:space="preserve"> wyniki bazowej inwentaryzacji emisji dwutlenku węgla wraz z perspektyw</w:t>
      </w:r>
      <w:r w:rsidR="00DC49E6">
        <w:rPr>
          <w:rFonts w:cs="Arial"/>
          <w:bCs/>
        </w:rPr>
        <w:t>ą</w:t>
      </w:r>
      <w:r w:rsidR="00632100">
        <w:rPr>
          <w:rFonts w:cs="Arial"/>
          <w:bCs/>
        </w:rPr>
        <w:t xml:space="preserve"> zm</w:t>
      </w:r>
      <w:r w:rsidR="00DC49E6">
        <w:rPr>
          <w:rFonts w:cs="Arial"/>
          <w:bCs/>
        </w:rPr>
        <w:t>ian dla poszczególnych sektorów. P</w:t>
      </w:r>
      <w:r w:rsidR="00632100">
        <w:rPr>
          <w:rFonts w:cs="Arial"/>
          <w:bCs/>
        </w:rPr>
        <w:t xml:space="preserve">rzewiduje się, że poprzez znaczny rozwój usług wzrośnie zapotrzebowanie na energię </w:t>
      </w:r>
      <w:r w:rsidR="00DC49E6">
        <w:rPr>
          <w:rFonts w:cs="Arial"/>
          <w:bCs/>
        </w:rPr>
        <w:t xml:space="preserve">dla tego </w:t>
      </w:r>
      <w:r w:rsidR="00632100">
        <w:rPr>
          <w:rFonts w:cs="Arial"/>
          <w:bCs/>
        </w:rPr>
        <w:t>sektor</w:t>
      </w:r>
      <w:r w:rsidR="00DC49E6">
        <w:rPr>
          <w:rFonts w:cs="Arial"/>
          <w:bCs/>
        </w:rPr>
        <w:t xml:space="preserve">a w szczególności nastąpi wzrost zapotrzebowania na energię elektryczną z 43tys. MWh do 171 tys. MWh – </w:t>
      </w:r>
      <w:r w:rsidR="00F12BA5">
        <w:rPr>
          <w:rFonts w:cs="Arial"/>
          <w:bCs/>
        </w:rPr>
        <w:t xml:space="preserve">co obrazuje </w:t>
      </w:r>
      <w:r w:rsidR="00DC49E6">
        <w:rPr>
          <w:rFonts w:cs="Arial"/>
          <w:bCs/>
        </w:rPr>
        <w:t>tabela</w:t>
      </w:r>
      <w:r w:rsidR="00F12BA5">
        <w:rPr>
          <w:rFonts w:cs="Arial"/>
          <w:bCs/>
        </w:rPr>
        <w:t xml:space="preserve"> 3</w:t>
      </w:r>
      <w:r w:rsidR="00F97CFE">
        <w:rPr>
          <w:rFonts w:cs="Arial"/>
          <w:bCs/>
        </w:rPr>
        <w:t>2 na str. 50 Planu</w:t>
      </w:r>
      <w:r w:rsidR="00F12BA5">
        <w:rPr>
          <w:rFonts w:cs="Arial"/>
          <w:bCs/>
        </w:rPr>
        <w:t>.</w:t>
      </w:r>
      <w:r w:rsidR="00632100">
        <w:rPr>
          <w:rFonts w:cs="Arial"/>
          <w:bCs/>
        </w:rPr>
        <w:t xml:space="preserve"> </w:t>
      </w:r>
    </w:p>
    <w:p w:rsidR="00F12BA5" w:rsidRDefault="00F12BA5" w:rsidP="0018102C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</w:rPr>
      </w:pPr>
      <w:r>
        <w:rPr>
          <w:rFonts w:cs="Arial"/>
          <w:bCs/>
        </w:rPr>
        <w:t xml:space="preserve">W drugim wariancie z obliczenia celu redukcji </w:t>
      </w:r>
      <w:r w:rsidR="00F97CFE">
        <w:rPr>
          <w:rFonts w:cs="Arial"/>
          <w:bCs/>
        </w:rPr>
        <w:t xml:space="preserve">dodatkowo </w:t>
      </w:r>
      <w:r>
        <w:rPr>
          <w:rFonts w:cs="Arial"/>
          <w:bCs/>
        </w:rPr>
        <w:t>wyłączona została emisja od środków transportu</w:t>
      </w:r>
      <w:r w:rsidR="00F97CFE">
        <w:rPr>
          <w:rFonts w:cs="Arial"/>
          <w:bCs/>
        </w:rPr>
        <w:t xml:space="preserve"> prywatnego</w:t>
      </w:r>
      <w:r>
        <w:rPr>
          <w:rFonts w:cs="Arial"/>
          <w:bCs/>
        </w:rPr>
        <w:t>. Pod uwagę został wzięty transport publiczny oraz tabor należący do gminy. Dla obu wariantów uzyskuje się</w:t>
      </w:r>
      <w:r w:rsidR="00F97CFE">
        <w:rPr>
          <w:rFonts w:cs="Arial"/>
          <w:bCs/>
        </w:rPr>
        <w:t xml:space="preserve"> wskazany w Porozumieniu Burmistrzów wyznaczony cel </w:t>
      </w:r>
      <w:r>
        <w:rPr>
          <w:rFonts w:cs="Arial"/>
          <w:bCs/>
        </w:rPr>
        <w:t xml:space="preserve">celu redukcji emisji </w:t>
      </w:r>
      <w:r w:rsidRPr="00FC6FDC">
        <w:t>CO</w:t>
      </w:r>
      <w:r w:rsidRPr="00FC6FD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rFonts w:cs="Arial"/>
          <w:bCs/>
        </w:rPr>
        <w:t xml:space="preserve"> </w:t>
      </w:r>
      <w:r w:rsidR="00F97CFE">
        <w:rPr>
          <w:rFonts w:cs="Arial"/>
          <w:bCs/>
        </w:rPr>
        <w:t>w wysokości</w:t>
      </w:r>
      <w:r>
        <w:rPr>
          <w:rFonts w:cs="Arial"/>
          <w:bCs/>
        </w:rPr>
        <w:t xml:space="preserve"> 20%.</w:t>
      </w:r>
    </w:p>
    <w:p w:rsidR="00F12BA5" w:rsidRDefault="00F12BA5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p w:rsidR="00595FA7" w:rsidRPr="0018102C" w:rsidRDefault="00595FA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/>
          <w:bCs/>
        </w:rPr>
      </w:pPr>
      <w:r w:rsidRPr="0018102C">
        <w:rPr>
          <w:rFonts w:cs="Arial"/>
          <w:b/>
          <w:bCs/>
        </w:rPr>
        <w:t>WARIANT 1</w:t>
      </w:r>
      <w:r w:rsidR="00970EFF">
        <w:rPr>
          <w:rFonts w:cs="Arial"/>
          <w:b/>
          <w:bCs/>
        </w:rPr>
        <w:t xml:space="preserve"> – bez uwzględniania sektora usług</w:t>
      </w:r>
    </w:p>
    <w:p w:rsidR="000406CF" w:rsidRDefault="00630935" w:rsidP="0018102C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</w:rPr>
      </w:pPr>
      <w:r>
        <w:t xml:space="preserve">Bez podejmowania jakichkolwiek działań mających na celu redukcję emisji </w:t>
      </w:r>
      <w:r w:rsidRPr="00FC6FDC">
        <w:t>CO</w:t>
      </w:r>
      <w:r w:rsidRPr="00FC6FDC">
        <w:rPr>
          <w:vertAlign w:val="subscript"/>
        </w:rPr>
        <w:t>2</w:t>
      </w:r>
      <w:r w:rsidRPr="00FC6FDC">
        <w:t>.</w:t>
      </w:r>
      <w:r>
        <w:t xml:space="preserve"> szacuje się, że przewidywane zużycie energii w roku 2020 </w:t>
      </w:r>
      <w:r w:rsidR="0018102C">
        <w:t xml:space="preserve">generowałoby </w:t>
      </w:r>
      <w:r>
        <w:t xml:space="preserve">roczną emisję </w:t>
      </w:r>
      <w:r w:rsidRPr="00FC6FDC">
        <w:t>CO</w:t>
      </w:r>
      <w:r w:rsidRPr="00FC6FDC">
        <w:rPr>
          <w:vertAlign w:val="subscript"/>
        </w:rPr>
        <w:t>2</w:t>
      </w:r>
      <w:r w:rsidRPr="00FC6FDC">
        <w:t>.</w:t>
      </w:r>
      <w:r>
        <w:t xml:space="preserve"> w wysokości 190</w:t>
      </w:r>
      <w:r w:rsidR="00970EFF">
        <w:t> </w:t>
      </w:r>
      <w:r>
        <w:t xml:space="preserve">869 Mg. Dla roku bazowego 1997 roczna emisja </w:t>
      </w:r>
      <w:r w:rsidRPr="00FC6FDC">
        <w:t>CO</w:t>
      </w:r>
      <w:r w:rsidRPr="00FC6FD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została oszacowana na poziomie 159 263 Mg. W związku z tym z</w:t>
      </w:r>
      <w:r w:rsidR="00595FA7" w:rsidRPr="00FC6FDC">
        <w:t>akładany poziom emisji na rok 2020 w wysokości 80% emisji CO</w:t>
      </w:r>
      <w:r w:rsidR="00595FA7" w:rsidRPr="00FC6FDC">
        <w:rPr>
          <w:vertAlign w:val="subscript"/>
        </w:rPr>
        <w:t>2</w:t>
      </w:r>
      <w:r w:rsidR="00595FA7" w:rsidRPr="00FC6FDC">
        <w:t xml:space="preserve"> w stosunku do roku bazowego </w:t>
      </w:r>
      <w:r w:rsidR="00F12BA5">
        <w:t xml:space="preserve"> </w:t>
      </w:r>
      <w:r w:rsidR="00595FA7" w:rsidRPr="00FC6FDC">
        <w:t xml:space="preserve">  wynosi </w:t>
      </w:r>
      <w:r w:rsidR="00970EFF">
        <w:t>127 </w:t>
      </w:r>
      <w:r w:rsidR="00F12BA5">
        <w:t>410</w:t>
      </w:r>
      <w:r w:rsidR="00595FA7" w:rsidRPr="00375750">
        <w:t xml:space="preserve"> Mg CO</w:t>
      </w:r>
      <w:r w:rsidR="00595FA7" w:rsidRPr="00375750">
        <w:rPr>
          <w:vertAlign w:val="subscript"/>
        </w:rPr>
        <w:t>2</w:t>
      </w:r>
      <w:r w:rsidR="00595FA7" w:rsidRPr="00FC6FDC">
        <w:t>. Oznacza to, że konieczna jest implementacja działań redukujących emisję CO</w:t>
      </w:r>
      <w:r w:rsidR="00595FA7" w:rsidRPr="00FC6FDC">
        <w:rPr>
          <w:vertAlign w:val="subscript"/>
        </w:rPr>
        <w:t>2</w:t>
      </w:r>
      <w:r w:rsidR="00595FA7" w:rsidRPr="00FC6FDC">
        <w:t xml:space="preserve"> w roku 2020 o co najmniej </w:t>
      </w:r>
      <w:r w:rsidR="0018102C">
        <w:t>31</w:t>
      </w:r>
      <w:r w:rsidR="00970EFF">
        <w:t> </w:t>
      </w:r>
      <w:r w:rsidR="0018102C">
        <w:t>853</w:t>
      </w:r>
      <w:r w:rsidR="00595FA7" w:rsidRPr="00FC6FDC">
        <w:t xml:space="preserve"> Mg CO</w:t>
      </w:r>
      <w:r w:rsidR="00595FA7" w:rsidRPr="00FC6FDC">
        <w:rPr>
          <w:vertAlign w:val="subscript"/>
        </w:rPr>
        <w:t>2</w:t>
      </w:r>
      <w:r w:rsidR="00595FA7" w:rsidRPr="00FC6FDC">
        <w:t xml:space="preserve">. </w:t>
      </w:r>
      <w:r w:rsidR="0018102C">
        <w:t>R</w:t>
      </w:r>
      <w:r w:rsidR="00595FA7" w:rsidRPr="00FC6FDC">
        <w:rPr>
          <w:b/>
        </w:rPr>
        <w:t xml:space="preserve">ealizacja </w:t>
      </w:r>
      <w:r w:rsidR="0018102C">
        <w:rPr>
          <w:b/>
        </w:rPr>
        <w:t>zaplanowanych</w:t>
      </w:r>
      <w:r w:rsidR="00595FA7" w:rsidRPr="00FC6FDC">
        <w:rPr>
          <w:b/>
        </w:rPr>
        <w:t xml:space="preserve"> działań przedstawionych </w:t>
      </w:r>
      <w:r w:rsidR="0018102C">
        <w:rPr>
          <w:b/>
        </w:rPr>
        <w:t xml:space="preserve">w harmonogramie w rozdziale 4.3 niniejszej aktualizacji Planu, </w:t>
      </w:r>
      <w:r w:rsidR="00595FA7" w:rsidRPr="00FC6FDC">
        <w:rPr>
          <w:b/>
        </w:rPr>
        <w:t>p</w:t>
      </w:r>
      <w:r w:rsidR="00970EFF">
        <w:rPr>
          <w:b/>
        </w:rPr>
        <w:t>rzyniesie oszczędności rzędu 32 </w:t>
      </w:r>
      <w:r w:rsidR="0018102C">
        <w:rPr>
          <w:b/>
        </w:rPr>
        <w:t>214</w:t>
      </w:r>
      <w:r w:rsidR="00595FA7" w:rsidRPr="00FC6FDC">
        <w:rPr>
          <w:b/>
        </w:rPr>
        <w:t>Mg CO</w:t>
      </w:r>
      <w:r w:rsidR="00595FA7" w:rsidRPr="00FC6FDC">
        <w:rPr>
          <w:b/>
          <w:vertAlign w:val="subscript"/>
        </w:rPr>
        <w:t>2</w:t>
      </w:r>
      <w:r w:rsidR="00595FA7" w:rsidRPr="00FC6FDC">
        <w:rPr>
          <w:b/>
        </w:rPr>
        <w:t>/rok</w:t>
      </w:r>
      <w:r w:rsidR="00595FA7">
        <w:rPr>
          <w:b/>
        </w:rPr>
        <w:t>,</w:t>
      </w:r>
      <w:r w:rsidR="00595FA7" w:rsidRPr="00FC6FDC">
        <w:rPr>
          <w:b/>
        </w:rPr>
        <w:t xml:space="preserve"> co stanowić będzie </w:t>
      </w:r>
      <w:r w:rsidR="0018102C">
        <w:rPr>
          <w:b/>
        </w:rPr>
        <w:t>20,2</w:t>
      </w:r>
      <w:r w:rsidR="00595FA7" w:rsidRPr="00FC6FDC">
        <w:rPr>
          <w:b/>
        </w:rPr>
        <w:t xml:space="preserve"> % redukcji CO</w:t>
      </w:r>
      <w:r w:rsidR="00595FA7" w:rsidRPr="00FC6FDC">
        <w:rPr>
          <w:b/>
          <w:vertAlign w:val="subscript"/>
        </w:rPr>
        <w:t>2</w:t>
      </w:r>
      <w:r w:rsidR="00595FA7">
        <w:rPr>
          <w:b/>
        </w:rPr>
        <w:t xml:space="preserve"> w stosunku do wyznaczonej wielkości emisji maksymalnie dopuszczalnej w roku 2020. Obliczenia przedstawiono w tabeli nr </w:t>
      </w:r>
      <w:r w:rsidR="0018102C">
        <w:rPr>
          <w:b/>
        </w:rPr>
        <w:t>2</w:t>
      </w:r>
      <w:r w:rsidR="00595FA7">
        <w:rPr>
          <w:b/>
        </w:rPr>
        <w:t>.</w:t>
      </w:r>
    </w:p>
    <w:p w:rsidR="00595FA7" w:rsidRDefault="00595FA7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p w:rsidR="001C1849" w:rsidRDefault="00E62E5A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Tabela 2 - 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1500"/>
        <w:gridCol w:w="1400"/>
      </w:tblGrid>
      <w:tr w:rsidR="001C1849" w:rsidRPr="001C1849" w:rsidTr="001C1849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Energia/nośnik energii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Emisja CO</w:t>
            </w:r>
            <w:r w:rsidRPr="001C1849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Mg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Ciepło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64 200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50 955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52 738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energia elektryczna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18 336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51 972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61 544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Paliwa transportowe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76 727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85 586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76 586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159 263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188 513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190 869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Emisja i redukcja emisji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Rok 2020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emisja maksymalnie dopuszczalna w roku 2020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Mg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127 410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wymagany poziom redukcji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20%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redukcja z programów krótkookresowych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23 810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lastRenderedPageBreak/>
              <w:t>redukcja z programów długookresowych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4 795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transport publiczny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3 434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sz w:val="18"/>
                <w:szCs w:val="18"/>
              </w:rPr>
              <w:t>odpady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redukcja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C18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C184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32 214</w:t>
            </w:r>
          </w:p>
        </w:tc>
      </w:tr>
      <w:tr w:rsidR="001C1849" w:rsidRPr="001C1849" w:rsidTr="001C1849">
        <w:trPr>
          <w:trHeight w:val="72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Emisja w roku 2020 - po przeprowadzeniu zaplanowanych działań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849">
              <w:rPr>
                <w:rFonts w:ascii="Times New Roman" w:hAnsi="Times New Roman"/>
                <w:b/>
                <w:bCs/>
                <w:sz w:val="20"/>
                <w:szCs w:val="20"/>
              </w:rPr>
              <w:t>127 049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planowany do osiągnięcia poziom w roku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C18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18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20,2%</w:t>
            </w:r>
          </w:p>
        </w:tc>
      </w:tr>
      <w:tr w:rsidR="001C1849" w:rsidRPr="001C1849" w:rsidTr="001C1849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>dodatkowo zredukowana emisja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8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Mg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8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849">
              <w:rPr>
                <w:rFonts w:ascii="Times New Roman" w:hAnsi="Times New Roman"/>
                <w:b/>
                <w:bCs/>
                <w:sz w:val="20"/>
                <w:szCs w:val="20"/>
              </w:rPr>
              <w:t>362</w:t>
            </w:r>
          </w:p>
        </w:tc>
      </w:tr>
      <w:tr w:rsidR="001C1849" w:rsidRPr="001C1849" w:rsidTr="001C1849">
        <w:trPr>
          <w:trHeight w:val="255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C1849" w:rsidRPr="001C1849" w:rsidRDefault="001C1849" w:rsidP="001C1849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8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C1849" w:rsidRPr="001C1849" w:rsidRDefault="001C1849" w:rsidP="001C1849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849">
              <w:rPr>
                <w:rFonts w:ascii="Arial" w:hAnsi="Arial" w:cs="Arial"/>
                <w:b/>
                <w:bCs/>
                <w:sz w:val="20"/>
                <w:szCs w:val="20"/>
              </w:rPr>
              <w:t>0,2%</w:t>
            </w:r>
          </w:p>
        </w:tc>
      </w:tr>
    </w:tbl>
    <w:p w:rsidR="001C1849" w:rsidRDefault="001C1849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p w:rsidR="002B058D" w:rsidRPr="00F97CFE" w:rsidRDefault="002B058D" w:rsidP="002B058D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/>
          <w:bCs/>
        </w:rPr>
      </w:pPr>
      <w:r w:rsidRPr="00F97CFE">
        <w:rPr>
          <w:rFonts w:cs="Arial"/>
          <w:b/>
          <w:bCs/>
        </w:rPr>
        <w:t>WARIANT 2</w:t>
      </w:r>
      <w:r w:rsidR="00970EFF">
        <w:rPr>
          <w:rFonts w:cs="Arial"/>
          <w:b/>
          <w:bCs/>
        </w:rPr>
        <w:t xml:space="preserve">  - bez uwzględniania sektora usług i transportu prywatnego</w:t>
      </w:r>
    </w:p>
    <w:p w:rsidR="0018102C" w:rsidRDefault="0018102C" w:rsidP="0018102C">
      <w:pPr>
        <w:pStyle w:val="Akapitzlist"/>
        <w:numPr>
          <w:ilvl w:val="0"/>
          <w:numId w:val="0"/>
        </w:numPr>
        <w:spacing w:before="240" w:after="200" w:line="276" w:lineRule="auto"/>
        <w:rPr>
          <w:rFonts w:cs="Arial"/>
          <w:bCs/>
        </w:rPr>
      </w:pPr>
      <w:r>
        <w:t xml:space="preserve">Bez podejmowania jakichkolwiek działań mających na celu redukcję emisji </w:t>
      </w:r>
      <w:r w:rsidRPr="00FC6FDC">
        <w:t>CO</w:t>
      </w:r>
      <w:r w:rsidRPr="00FC6FDC">
        <w:rPr>
          <w:vertAlign w:val="subscript"/>
        </w:rPr>
        <w:t>2</w:t>
      </w:r>
      <w:r>
        <w:t xml:space="preserve"> szacuje się, że przewidywane zużycie energii w roku 2020 generowałoby roczną emisję </w:t>
      </w:r>
      <w:r w:rsidRPr="00FC6FDC">
        <w:t>CO</w:t>
      </w:r>
      <w:r w:rsidRPr="00FC6FDC">
        <w:rPr>
          <w:vertAlign w:val="subscript"/>
        </w:rPr>
        <w:t>2</w:t>
      </w:r>
      <w:r w:rsidRPr="00FC6FDC">
        <w:t>.</w:t>
      </w:r>
      <w:r>
        <w:t xml:space="preserve"> w wysokości 114 835 Mg. Dla roku bazowego 1997 roczna emisja </w:t>
      </w:r>
      <w:r w:rsidRPr="00FC6FDC">
        <w:t>CO</w:t>
      </w:r>
      <w:r w:rsidRPr="00FC6FD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została oszacowana na poziomie 83 703 Mg. W związku z tym z</w:t>
      </w:r>
      <w:r w:rsidRPr="00FC6FDC">
        <w:t>akładany poziom emisji na rok 2020 w wysokości 80% emisji CO</w:t>
      </w:r>
      <w:r w:rsidRPr="00FC6FDC">
        <w:rPr>
          <w:vertAlign w:val="subscript"/>
        </w:rPr>
        <w:t>2</w:t>
      </w:r>
      <w:r w:rsidRPr="00FC6FDC">
        <w:t xml:space="preserve"> w stosunku do roku bazowego wynosi </w:t>
      </w:r>
      <w:r>
        <w:t>66 962</w:t>
      </w:r>
      <w:r w:rsidRPr="00375750">
        <w:t xml:space="preserve"> Mg CO</w:t>
      </w:r>
      <w:r w:rsidRPr="00375750">
        <w:rPr>
          <w:vertAlign w:val="subscript"/>
        </w:rPr>
        <w:t>2</w:t>
      </w:r>
      <w:r w:rsidRPr="00FC6FDC">
        <w:t>. Oznacza to, że konieczna jest implementacja działań redukujących emisję CO</w:t>
      </w:r>
      <w:r w:rsidRPr="00FC6FDC">
        <w:rPr>
          <w:vertAlign w:val="subscript"/>
        </w:rPr>
        <w:t>2</w:t>
      </w:r>
      <w:r w:rsidRPr="00FC6FDC">
        <w:t xml:space="preserve"> w roku 2020 o co najmniej </w:t>
      </w:r>
      <w:r>
        <w:t>16 741</w:t>
      </w:r>
      <w:r w:rsidRPr="00FC6FDC">
        <w:t xml:space="preserve"> Mg CO</w:t>
      </w:r>
      <w:r w:rsidRPr="00FC6FDC">
        <w:rPr>
          <w:vertAlign w:val="subscript"/>
        </w:rPr>
        <w:t>2</w:t>
      </w:r>
      <w:r w:rsidRPr="00FC6FDC">
        <w:t xml:space="preserve">. </w:t>
      </w:r>
      <w:r>
        <w:t>R</w:t>
      </w:r>
      <w:r w:rsidRPr="00FC6FDC">
        <w:rPr>
          <w:b/>
        </w:rPr>
        <w:t xml:space="preserve">ealizacja </w:t>
      </w:r>
      <w:r>
        <w:rPr>
          <w:b/>
        </w:rPr>
        <w:t>zaplanowanych</w:t>
      </w:r>
      <w:r w:rsidRPr="00FC6FDC">
        <w:rPr>
          <w:b/>
        </w:rPr>
        <w:t xml:space="preserve"> działań przedstawionych </w:t>
      </w:r>
      <w:r>
        <w:rPr>
          <w:b/>
        </w:rPr>
        <w:t xml:space="preserve">w harmonogramie w rozdziale 4.3 niniejszej aktualizacji Planu, </w:t>
      </w:r>
      <w:r w:rsidRPr="00FC6FDC">
        <w:rPr>
          <w:b/>
        </w:rPr>
        <w:t xml:space="preserve">przyniesie oszczędności rzędu 32 </w:t>
      </w:r>
      <w:r>
        <w:rPr>
          <w:b/>
        </w:rPr>
        <w:t>214</w:t>
      </w:r>
      <w:r w:rsidRPr="00FC6FDC">
        <w:rPr>
          <w:b/>
        </w:rPr>
        <w:t>Mg CO</w:t>
      </w:r>
      <w:r w:rsidRPr="00FC6FDC">
        <w:rPr>
          <w:b/>
          <w:vertAlign w:val="subscript"/>
        </w:rPr>
        <w:t>2</w:t>
      </w:r>
      <w:r w:rsidRPr="00FC6FDC">
        <w:rPr>
          <w:b/>
        </w:rPr>
        <w:t>/rok</w:t>
      </w:r>
      <w:r>
        <w:rPr>
          <w:b/>
        </w:rPr>
        <w:t>,</w:t>
      </w:r>
      <w:r w:rsidRPr="00FC6FDC">
        <w:rPr>
          <w:b/>
        </w:rPr>
        <w:t xml:space="preserve"> co stanowić będzie </w:t>
      </w:r>
      <w:r>
        <w:rPr>
          <w:b/>
        </w:rPr>
        <w:t>38,5%</w:t>
      </w:r>
      <w:r w:rsidRPr="00FC6FDC">
        <w:rPr>
          <w:b/>
        </w:rPr>
        <w:t xml:space="preserve"> redukcji CO</w:t>
      </w:r>
      <w:r w:rsidRPr="00FC6FDC">
        <w:rPr>
          <w:b/>
          <w:vertAlign w:val="subscript"/>
        </w:rPr>
        <w:t>2</w:t>
      </w:r>
      <w:r>
        <w:rPr>
          <w:b/>
        </w:rPr>
        <w:t xml:space="preserve"> w stosunku do wyznaczonej wielkości emisji maksymalnie dopuszczalnej w roku 2020. Obliczenia przedstawiono w tabeli nr 3.</w:t>
      </w:r>
    </w:p>
    <w:p w:rsidR="002B058D" w:rsidRDefault="002B058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p w:rsidR="002B058D" w:rsidRDefault="0018102C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  <w:r>
        <w:rPr>
          <w:rFonts w:cs="Arial"/>
          <w:bCs/>
        </w:rPr>
        <w:t>Tabela 3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1500"/>
        <w:gridCol w:w="1400"/>
      </w:tblGrid>
      <w:tr w:rsidR="002B058D" w:rsidRPr="002B058D" w:rsidTr="002B058D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Energia/nośnik energii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Emisja CO</w:t>
            </w:r>
            <w:r w:rsidRPr="002B058D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Mg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Ciepło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64 200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50 955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52 738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energia elektryczna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18 336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51 972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61 544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Paliwa transportowe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1 104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552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83 703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104 031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114 835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Emisja i redukcja emisji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Rok 2020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Mg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emisja maksymalnie dopuszczalna w roku 2020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Mg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66 962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wymagany poziom redukcji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20%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redukcja z programów krótkookresowych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23 810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redukcja z programów długookresowych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4 795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transport publiczny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3 434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sz w:val="18"/>
                <w:szCs w:val="18"/>
              </w:rPr>
              <w:t>odpady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redukcja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B0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058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32 214</w:t>
            </w:r>
          </w:p>
        </w:tc>
      </w:tr>
      <w:tr w:rsidR="002B058D" w:rsidRPr="002B058D" w:rsidTr="002B058D">
        <w:trPr>
          <w:trHeight w:val="72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Emisja w roku 2020 - po przeprowadzeniu zaplanowanych działań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58D">
              <w:rPr>
                <w:rFonts w:ascii="Times New Roman" w:hAnsi="Times New Roman"/>
                <w:b/>
                <w:bCs/>
                <w:sz w:val="20"/>
                <w:szCs w:val="20"/>
              </w:rPr>
              <w:t>51 489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planowany do osiągnięcia poziom w roku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B05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5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38,5%</w:t>
            </w:r>
          </w:p>
        </w:tc>
      </w:tr>
      <w:tr w:rsidR="002B058D" w:rsidRPr="002B058D" w:rsidTr="002B058D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>dodatkowo zredukowana emisja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05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Mg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5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58D">
              <w:rPr>
                <w:rFonts w:ascii="Times New Roman" w:hAnsi="Times New Roman"/>
                <w:b/>
                <w:bCs/>
                <w:sz w:val="20"/>
                <w:szCs w:val="20"/>
              </w:rPr>
              <w:t>15 474</w:t>
            </w:r>
          </w:p>
        </w:tc>
      </w:tr>
      <w:tr w:rsidR="002B058D" w:rsidRPr="002B058D" w:rsidTr="002B058D">
        <w:trPr>
          <w:trHeight w:val="255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5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B058D" w:rsidRPr="002B058D" w:rsidRDefault="002B058D" w:rsidP="002B058D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5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2B058D" w:rsidRPr="002B058D" w:rsidRDefault="002B058D" w:rsidP="002B058D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58D">
              <w:rPr>
                <w:rFonts w:ascii="Arial" w:hAnsi="Arial" w:cs="Arial"/>
                <w:b/>
                <w:bCs/>
                <w:sz w:val="20"/>
                <w:szCs w:val="20"/>
              </w:rPr>
              <w:t>18,5%</w:t>
            </w:r>
          </w:p>
        </w:tc>
      </w:tr>
    </w:tbl>
    <w:p w:rsidR="002B058D" w:rsidRPr="00C944E9" w:rsidRDefault="002B058D" w:rsidP="00A826A4">
      <w:pPr>
        <w:pStyle w:val="Akapitzlist"/>
        <w:numPr>
          <w:ilvl w:val="0"/>
          <w:numId w:val="0"/>
        </w:numPr>
        <w:spacing w:before="240" w:after="200" w:line="276" w:lineRule="auto"/>
        <w:jc w:val="left"/>
        <w:rPr>
          <w:rFonts w:cs="Arial"/>
          <w:bCs/>
        </w:rPr>
      </w:pPr>
    </w:p>
    <w:sectPr w:rsidR="002B058D" w:rsidRPr="00C9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BC" w:rsidRDefault="00D052BC" w:rsidP="00A826A4">
      <w:r>
        <w:separator/>
      </w:r>
    </w:p>
  </w:endnote>
  <w:endnote w:type="continuationSeparator" w:id="0">
    <w:p w:rsidR="00D052BC" w:rsidRDefault="00D052BC" w:rsidP="00A8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278A" w:rsidRDefault="00F6278A" w:rsidP="00901C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3E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3E1B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278A" w:rsidRDefault="00F62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BC" w:rsidRDefault="00D052BC" w:rsidP="00A826A4">
      <w:r>
        <w:separator/>
      </w:r>
    </w:p>
  </w:footnote>
  <w:footnote w:type="continuationSeparator" w:id="0">
    <w:p w:rsidR="00D052BC" w:rsidRDefault="00D052BC" w:rsidP="00A8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8A" w:rsidRDefault="00F6278A" w:rsidP="005C7EC7">
    <w:pPr>
      <w:pStyle w:val="Nagwek"/>
      <w:jc w:val="right"/>
    </w:pPr>
    <w:r>
      <w:rPr>
        <w:noProof/>
      </w:rPr>
      <w:drawing>
        <wp:inline distT="0" distB="0" distL="0" distR="0" wp14:anchorId="03201C9D" wp14:editId="01F674AD">
          <wp:extent cx="828675" cy="581025"/>
          <wp:effectExtent l="0" t="0" r="0" b="9525"/>
          <wp:docPr id="2" name="Obraz 2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CC7"/>
    <w:multiLevelType w:val="hybridMultilevel"/>
    <w:tmpl w:val="606C9D40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407BD8"/>
    <w:multiLevelType w:val="hybridMultilevel"/>
    <w:tmpl w:val="1C72AB06"/>
    <w:lvl w:ilvl="0" w:tplc="7F6A9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B2994"/>
    <w:multiLevelType w:val="multilevel"/>
    <w:tmpl w:val="96305CC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D252E0"/>
    <w:multiLevelType w:val="multilevel"/>
    <w:tmpl w:val="DA76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4290C17"/>
    <w:multiLevelType w:val="hybridMultilevel"/>
    <w:tmpl w:val="E84A15D2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62D68E1"/>
    <w:multiLevelType w:val="multilevel"/>
    <w:tmpl w:val="96305CC8"/>
    <w:numStyleLink w:val="Styl1"/>
  </w:abstractNum>
  <w:abstractNum w:abstractNumId="6">
    <w:nsid w:val="194B0DA3"/>
    <w:multiLevelType w:val="hybridMultilevel"/>
    <w:tmpl w:val="9B3019BA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6B5260"/>
    <w:multiLevelType w:val="hybridMultilevel"/>
    <w:tmpl w:val="40CE74AA"/>
    <w:lvl w:ilvl="0" w:tplc="B0AAF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4257"/>
    <w:multiLevelType w:val="hybridMultilevel"/>
    <w:tmpl w:val="F360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72D6"/>
    <w:multiLevelType w:val="hybridMultilevel"/>
    <w:tmpl w:val="9A68FCBC"/>
    <w:lvl w:ilvl="0" w:tplc="99C6D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66E6F"/>
    <w:multiLevelType w:val="hybridMultilevel"/>
    <w:tmpl w:val="B318104C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7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5C6CA9"/>
    <w:multiLevelType w:val="hybridMultilevel"/>
    <w:tmpl w:val="AC409F98"/>
    <w:lvl w:ilvl="0" w:tplc="DA64B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165BD"/>
    <w:multiLevelType w:val="multilevel"/>
    <w:tmpl w:val="96305CC8"/>
    <w:numStyleLink w:val="Styl1"/>
  </w:abstractNum>
  <w:abstractNum w:abstractNumId="14">
    <w:nsid w:val="31F66375"/>
    <w:multiLevelType w:val="hybridMultilevel"/>
    <w:tmpl w:val="662867D8"/>
    <w:lvl w:ilvl="0" w:tplc="6C427F34">
      <w:start w:val="2"/>
      <w:numFmt w:val="lowerRoman"/>
      <w:lvlText w:val="%1."/>
      <w:lvlJc w:val="left"/>
      <w:pPr>
        <w:ind w:left="1428" w:hanging="720"/>
      </w:pPr>
      <w:rPr>
        <w:rFonts w:ascii="Garamond" w:hAnsi="Garamond" w:cs="Garamond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664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0B130E"/>
    <w:multiLevelType w:val="multilevel"/>
    <w:tmpl w:val="86D403F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B5F7699"/>
    <w:multiLevelType w:val="hybridMultilevel"/>
    <w:tmpl w:val="E9B8EB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46F8"/>
    <w:multiLevelType w:val="hybridMultilevel"/>
    <w:tmpl w:val="B40E11A2"/>
    <w:lvl w:ilvl="0" w:tplc="037269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B6F04"/>
    <w:multiLevelType w:val="hybridMultilevel"/>
    <w:tmpl w:val="73E46676"/>
    <w:lvl w:ilvl="0" w:tplc="B9661F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5E0287"/>
    <w:multiLevelType w:val="hybridMultilevel"/>
    <w:tmpl w:val="62FA6A68"/>
    <w:lvl w:ilvl="0" w:tplc="6AEC6A6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93A41"/>
    <w:multiLevelType w:val="hybridMultilevel"/>
    <w:tmpl w:val="ADD0A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D7C55"/>
    <w:multiLevelType w:val="hybridMultilevel"/>
    <w:tmpl w:val="F6A6BFFE"/>
    <w:lvl w:ilvl="0" w:tplc="3ED607DC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39224B"/>
    <w:multiLevelType w:val="multilevel"/>
    <w:tmpl w:val="96305CC8"/>
    <w:numStyleLink w:val="Styl1"/>
  </w:abstractNum>
  <w:abstractNum w:abstractNumId="24">
    <w:nsid w:val="550D16DF"/>
    <w:multiLevelType w:val="multilevel"/>
    <w:tmpl w:val="D078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Impact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Impact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Impact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Impact" w:hAnsi="Impact" w:cs="Impact" w:hint="default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mpact" w:hAnsi="Impact" w:cs="Impact" w:hint="default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Impact" w:hAnsi="Impact" w:cs="Impact" w:hint="default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mpact" w:hAnsi="Impact" w:cs="Impact" w:hint="default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Impact" w:hAnsi="Impact" w:cs="Impact" w:hint="default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Impact" w:hAnsi="Impact" w:cs="Impact" w:hint="default"/>
        <w:i/>
        <w:sz w:val="20"/>
      </w:rPr>
    </w:lvl>
  </w:abstractNum>
  <w:abstractNum w:abstractNumId="25">
    <w:nsid w:val="554A348F"/>
    <w:multiLevelType w:val="hybridMultilevel"/>
    <w:tmpl w:val="27C2BFFA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B481B1A"/>
    <w:multiLevelType w:val="hybridMultilevel"/>
    <w:tmpl w:val="49BE859C"/>
    <w:lvl w:ilvl="0" w:tplc="037269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030F5C"/>
    <w:multiLevelType w:val="multilevel"/>
    <w:tmpl w:val="E9D2A3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8">
    <w:nsid w:val="66F47709"/>
    <w:multiLevelType w:val="hybridMultilevel"/>
    <w:tmpl w:val="C7AEFB72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99F"/>
    <w:multiLevelType w:val="hybridMultilevel"/>
    <w:tmpl w:val="52608784"/>
    <w:lvl w:ilvl="0" w:tplc="0415001B">
      <w:start w:val="1"/>
      <w:numFmt w:val="low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86E0E4E"/>
    <w:multiLevelType w:val="hybridMultilevel"/>
    <w:tmpl w:val="F7DC3910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5C5493"/>
    <w:multiLevelType w:val="hybridMultilevel"/>
    <w:tmpl w:val="9B68723E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2A2F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"/>
  </w:num>
  <w:num w:numId="5">
    <w:abstractNumId w:val="19"/>
  </w:num>
  <w:num w:numId="6">
    <w:abstractNumId w:val="14"/>
  </w:num>
  <w:num w:numId="7">
    <w:abstractNumId w:val="24"/>
  </w:num>
  <w:num w:numId="8">
    <w:abstractNumId w:val="8"/>
  </w:num>
  <w:num w:numId="9">
    <w:abstractNumId w:val="22"/>
  </w:num>
  <w:num w:numId="10">
    <w:abstractNumId w:val="31"/>
  </w:num>
  <w:num w:numId="11">
    <w:abstractNumId w:val="0"/>
  </w:num>
  <w:num w:numId="12">
    <w:abstractNumId w:val="10"/>
  </w:num>
  <w:num w:numId="13">
    <w:abstractNumId w:val="30"/>
  </w:num>
  <w:num w:numId="14">
    <w:abstractNumId w:val="6"/>
  </w:num>
  <w:num w:numId="15">
    <w:abstractNumId w:val="25"/>
  </w:num>
  <w:num w:numId="16">
    <w:abstractNumId w:val="4"/>
  </w:num>
  <w:num w:numId="17">
    <w:abstractNumId w:val="29"/>
  </w:num>
  <w:num w:numId="18">
    <w:abstractNumId w:val="13"/>
  </w:num>
  <w:num w:numId="19">
    <w:abstractNumId w:val="3"/>
  </w:num>
  <w:num w:numId="20">
    <w:abstractNumId w:val="9"/>
  </w:num>
  <w:num w:numId="21">
    <w:abstractNumId w:val="15"/>
  </w:num>
  <w:num w:numId="22">
    <w:abstractNumId w:val="12"/>
  </w:num>
  <w:num w:numId="23">
    <w:abstractNumId w:val="2"/>
  </w:num>
  <w:num w:numId="24">
    <w:abstractNumId w:val="32"/>
  </w:num>
  <w:num w:numId="25">
    <w:abstractNumId w:val="11"/>
  </w:num>
  <w:num w:numId="26">
    <w:abstractNumId w:val="5"/>
  </w:num>
  <w:num w:numId="27">
    <w:abstractNumId w:val="16"/>
  </w:num>
  <w:num w:numId="28">
    <w:abstractNumId w:val="27"/>
  </w:num>
  <w:num w:numId="29">
    <w:abstractNumId w:val="2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4"/>
    <w:rsid w:val="0003017E"/>
    <w:rsid w:val="000406CF"/>
    <w:rsid w:val="00040AE9"/>
    <w:rsid w:val="000D0AA5"/>
    <w:rsid w:val="00107B9D"/>
    <w:rsid w:val="0018102C"/>
    <w:rsid w:val="00196CF4"/>
    <w:rsid w:val="001C1849"/>
    <w:rsid w:val="00210C40"/>
    <w:rsid w:val="00264B53"/>
    <w:rsid w:val="00265D18"/>
    <w:rsid w:val="002B058D"/>
    <w:rsid w:val="002D5EE9"/>
    <w:rsid w:val="00371599"/>
    <w:rsid w:val="00393E1B"/>
    <w:rsid w:val="003C3B63"/>
    <w:rsid w:val="00426BC1"/>
    <w:rsid w:val="00447FBA"/>
    <w:rsid w:val="004938DA"/>
    <w:rsid w:val="004C423D"/>
    <w:rsid w:val="004E042D"/>
    <w:rsid w:val="004E59DD"/>
    <w:rsid w:val="00563D02"/>
    <w:rsid w:val="00565AEA"/>
    <w:rsid w:val="00595FA7"/>
    <w:rsid w:val="005C7EC7"/>
    <w:rsid w:val="005D3332"/>
    <w:rsid w:val="005D69E7"/>
    <w:rsid w:val="00630935"/>
    <w:rsid w:val="00632100"/>
    <w:rsid w:val="006A3612"/>
    <w:rsid w:val="007911FB"/>
    <w:rsid w:val="00826EF2"/>
    <w:rsid w:val="0084310A"/>
    <w:rsid w:val="0085366A"/>
    <w:rsid w:val="008957BE"/>
    <w:rsid w:val="008F30A1"/>
    <w:rsid w:val="00901C7D"/>
    <w:rsid w:val="00903505"/>
    <w:rsid w:val="0092015E"/>
    <w:rsid w:val="009632E4"/>
    <w:rsid w:val="00970EFF"/>
    <w:rsid w:val="0099417F"/>
    <w:rsid w:val="009C4E14"/>
    <w:rsid w:val="009D5BE4"/>
    <w:rsid w:val="00A32CB9"/>
    <w:rsid w:val="00A826A4"/>
    <w:rsid w:val="00A8605C"/>
    <w:rsid w:val="00A93CBB"/>
    <w:rsid w:val="00AA773C"/>
    <w:rsid w:val="00AC6ACD"/>
    <w:rsid w:val="00B176F1"/>
    <w:rsid w:val="00B961B3"/>
    <w:rsid w:val="00BF1FC0"/>
    <w:rsid w:val="00C21579"/>
    <w:rsid w:val="00C25AAD"/>
    <w:rsid w:val="00C62573"/>
    <w:rsid w:val="00C90327"/>
    <w:rsid w:val="00C921EE"/>
    <w:rsid w:val="00C944E9"/>
    <w:rsid w:val="00CB2500"/>
    <w:rsid w:val="00CC443E"/>
    <w:rsid w:val="00CC7276"/>
    <w:rsid w:val="00CF7107"/>
    <w:rsid w:val="00D052BC"/>
    <w:rsid w:val="00D40267"/>
    <w:rsid w:val="00D93674"/>
    <w:rsid w:val="00DC264E"/>
    <w:rsid w:val="00DC49E6"/>
    <w:rsid w:val="00DC4A11"/>
    <w:rsid w:val="00DD6BC9"/>
    <w:rsid w:val="00DE2690"/>
    <w:rsid w:val="00E023C4"/>
    <w:rsid w:val="00E12A17"/>
    <w:rsid w:val="00E338EF"/>
    <w:rsid w:val="00E4604C"/>
    <w:rsid w:val="00E62E5A"/>
    <w:rsid w:val="00E72BD8"/>
    <w:rsid w:val="00ED6C84"/>
    <w:rsid w:val="00EF368F"/>
    <w:rsid w:val="00F02085"/>
    <w:rsid w:val="00F12BA5"/>
    <w:rsid w:val="00F22EEB"/>
    <w:rsid w:val="00F4106C"/>
    <w:rsid w:val="00F53A5B"/>
    <w:rsid w:val="00F6278A"/>
    <w:rsid w:val="00F66FB1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A4"/>
    <w:pPr>
      <w:spacing w:after="0" w:line="240" w:lineRule="auto"/>
      <w:ind w:left="284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A773C"/>
    <w:pPr>
      <w:keepNext/>
      <w:tabs>
        <w:tab w:val="num" w:pos="360"/>
      </w:tabs>
      <w:spacing w:after="240"/>
      <w:ind w:left="357" w:hanging="357"/>
      <w:jc w:val="both"/>
      <w:outlineLvl w:val="0"/>
    </w:pPr>
    <w:rPr>
      <w:b/>
      <w:bCs/>
      <w:color w:val="000000"/>
      <w:kern w:val="32"/>
    </w:rPr>
  </w:style>
  <w:style w:type="paragraph" w:styleId="Nagwek3">
    <w:name w:val="heading 3"/>
    <w:basedOn w:val="Normalny"/>
    <w:next w:val="Normalny"/>
    <w:link w:val="Nagwek3Znak"/>
    <w:autoRedefine/>
    <w:qFormat/>
    <w:rsid w:val="00A826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A826A4"/>
    <w:pPr>
      <w:numPr>
        <w:numId w:val="1"/>
      </w:numPr>
      <w:spacing w:before="120" w:after="120"/>
      <w:contextualSpacing/>
      <w:jc w:val="both"/>
    </w:pPr>
    <w:rPr>
      <w:szCs w:val="22"/>
    </w:rPr>
  </w:style>
  <w:style w:type="character" w:customStyle="1" w:styleId="Nagwek1Znak">
    <w:name w:val="Nagłówek 1 Znak"/>
    <w:basedOn w:val="Domylnaczcionkaakapitu"/>
    <w:link w:val="Nagwek1"/>
    <w:rsid w:val="00AA773C"/>
    <w:rPr>
      <w:rFonts w:ascii="Garamond" w:eastAsia="Times New Roman" w:hAnsi="Garamond" w:cs="Times New Roman"/>
      <w:b/>
      <w:bCs/>
      <w:color w:val="000000"/>
      <w:kern w:val="3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26A4"/>
    <w:rPr>
      <w:rFonts w:ascii="Garamond" w:eastAsia="Times New Roman" w:hAnsi="Garamond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826A4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26A4"/>
    <w:rPr>
      <w:rFonts w:ascii="Garamond" w:eastAsia="Times New Roman" w:hAnsi="Garamond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rsid w:val="00A826A4"/>
    <w:rPr>
      <w:rFonts w:cs="Times New Roman"/>
      <w:vertAlign w:val="superscript"/>
    </w:rPr>
  </w:style>
  <w:style w:type="character" w:styleId="Hipercze">
    <w:name w:val="Hyperlink"/>
    <w:uiPriority w:val="99"/>
    <w:rsid w:val="008957BE"/>
    <w:rPr>
      <w:color w:val="0000FF"/>
      <w:u w:val="single"/>
    </w:rPr>
  </w:style>
  <w:style w:type="character" w:customStyle="1" w:styleId="tgc">
    <w:name w:val="_tgc"/>
    <w:basedOn w:val="Domylnaczcionkaakapitu"/>
    <w:rsid w:val="007911FB"/>
  </w:style>
  <w:style w:type="paragraph" w:styleId="NormalnyWeb">
    <w:name w:val="Normal (Web)"/>
    <w:basedOn w:val="Normalny"/>
    <w:uiPriority w:val="99"/>
    <w:semiHidden/>
    <w:unhideWhenUsed/>
    <w:rsid w:val="007911FB"/>
    <w:pPr>
      <w:ind w:left="0"/>
    </w:pPr>
    <w:rPr>
      <w:rFonts w:ascii="Times New Roman" w:hAnsi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5D3332"/>
    <w:rPr>
      <w:rFonts w:ascii="Garamond" w:eastAsia="Times New Roman" w:hAnsi="Garamond" w:cs="Times New Roman"/>
      <w:sz w:val="24"/>
      <w:lang w:eastAsia="pl-PL"/>
    </w:rPr>
  </w:style>
  <w:style w:type="paragraph" w:customStyle="1" w:styleId="GOMnormal">
    <w:name w:val="GOM_normal"/>
    <w:basedOn w:val="Normalny"/>
    <w:link w:val="GOMnormalZnak"/>
    <w:qFormat/>
    <w:rsid w:val="00040AE9"/>
    <w:pPr>
      <w:spacing w:before="120" w:after="120"/>
      <w:ind w:left="0"/>
      <w:jc w:val="both"/>
    </w:pPr>
    <w:rPr>
      <w:rFonts w:ascii="Calibri" w:hAnsi="Calibri"/>
      <w:sz w:val="20"/>
      <w:szCs w:val="20"/>
    </w:rPr>
  </w:style>
  <w:style w:type="character" w:customStyle="1" w:styleId="GOMnormalZnak">
    <w:name w:val="GOM_normal Znak"/>
    <w:basedOn w:val="Domylnaczcionkaakapitu"/>
    <w:link w:val="GOMnormal"/>
    <w:rsid w:val="00040AE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OMpodpistab">
    <w:name w:val="GOM_podpis tab"/>
    <w:basedOn w:val="Normalny"/>
    <w:link w:val="GOMpodpistabZnak"/>
    <w:qFormat/>
    <w:rsid w:val="00040AE9"/>
    <w:pPr>
      <w:spacing w:before="120" w:after="120"/>
      <w:ind w:left="0"/>
      <w:jc w:val="both"/>
    </w:pPr>
    <w:rPr>
      <w:rFonts w:ascii="Calibri" w:hAnsi="Calibri"/>
      <w:i/>
      <w:sz w:val="18"/>
      <w:szCs w:val="16"/>
    </w:rPr>
  </w:style>
  <w:style w:type="character" w:customStyle="1" w:styleId="GOMpodpistabZnak">
    <w:name w:val="GOM_podpis tab Znak"/>
    <w:basedOn w:val="Domylnaczcionkaakapitu"/>
    <w:link w:val="GOMpodpistab"/>
    <w:rsid w:val="00040AE9"/>
    <w:rPr>
      <w:rFonts w:ascii="Calibri" w:eastAsia="Times New Roman" w:hAnsi="Calibri" w:cs="Times New Roman"/>
      <w:i/>
      <w:sz w:val="18"/>
      <w:szCs w:val="16"/>
      <w:lang w:eastAsia="pl-PL"/>
    </w:rPr>
  </w:style>
  <w:style w:type="paragraph" w:customStyle="1" w:styleId="GOMprzypis">
    <w:name w:val="GOM_przypis"/>
    <w:basedOn w:val="Tekstprzypisudolnego"/>
    <w:link w:val="GOMprzypisZnak"/>
    <w:qFormat/>
    <w:rsid w:val="00040AE9"/>
    <w:pPr>
      <w:ind w:left="227" w:hanging="227"/>
    </w:pPr>
    <w:rPr>
      <w:rFonts w:ascii="Calibri" w:hAnsi="Calibri"/>
    </w:rPr>
  </w:style>
  <w:style w:type="character" w:customStyle="1" w:styleId="GOMprzypisZnak">
    <w:name w:val="GOM_przypis Znak"/>
    <w:basedOn w:val="Domylnaczcionkaakapitu"/>
    <w:link w:val="GOMprzypis"/>
    <w:rsid w:val="00040AE9"/>
    <w:rPr>
      <w:rFonts w:ascii="Calibri" w:eastAsia="Times New Roman" w:hAnsi="Calibri" w:cs="Times New Roman"/>
      <w:sz w:val="18"/>
      <w:szCs w:val="20"/>
      <w:lang w:eastAsia="pl-PL"/>
    </w:rPr>
  </w:style>
  <w:style w:type="paragraph" w:customStyle="1" w:styleId="Default">
    <w:name w:val="Default"/>
    <w:rsid w:val="0090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C7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C7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7107"/>
    <w:pPr>
      <w:keepLines/>
      <w:tabs>
        <w:tab w:val="clear" w:pos="360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B250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B2500"/>
    <w:pPr>
      <w:spacing w:after="100" w:line="276" w:lineRule="auto"/>
      <w:ind w:hanging="284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250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1">
    <w:name w:val="Styl1"/>
    <w:uiPriority w:val="99"/>
    <w:rsid w:val="00DD6BC9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500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500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43E"/>
    <w:pPr>
      <w:widowControl w:val="0"/>
      <w:suppressAutoHyphens/>
      <w:autoSpaceDE w:val="0"/>
      <w:ind w:left="0" w:right="-33"/>
      <w:jc w:val="both"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443E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A4"/>
    <w:pPr>
      <w:spacing w:after="0" w:line="240" w:lineRule="auto"/>
      <w:ind w:left="284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A773C"/>
    <w:pPr>
      <w:keepNext/>
      <w:tabs>
        <w:tab w:val="num" w:pos="360"/>
      </w:tabs>
      <w:spacing w:after="240"/>
      <w:ind w:left="357" w:hanging="357"/>
      <w:jc w:val="both"/>
      <w:outlineLvl w:val="0"/>
    </w:pPr>
    <w:rPr>
      <w:b/>
      <w:bCs/>
      <w:color w:val="000000"/>
      <w:kern w:val="32"/>
    </w:rPr>
  </w:style>
  <w:style w:type="paragraph" w:styleId="Nagwek3">
    <w:name w:val="heading 3"/>
    <w:basedOn w:val="Normalny"/>
    <w:next w:val="Normalny"/>
    <w:link w:val="Nagwek3Znak"/>
    <w:autoRedefine/>
    <w:qFormat/>
    <w:rsid w:val="00A826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A826A4"/>
    <w:pPr>
      <w:numPr>
        <w:numId w:val="1"/>
      </w:numPr>
      <w:spacing w:before="120" w:after="120"/>
      <w:contextualSpacing/>
      <w:jc w:val="both"/>
    </w:pPr>
    <w:rPr>
      <w:szCs w:val="22"/>
    </w:rPr>
  </w:style>
  <w:style w:type="character" w:customStyle="1" w:styleId="Nagwek1Znak">
    <w:name w:val="Nagłówek 1 Znak"/>
    <w:basedOn w:val="Domylnaczcionkaakapitu"/>
    <w:link w:val="Nagwek1"/>
    <w:rsid w:val="00AA773C"/>
    <w:rPr>
      <w:rFonts w:ascii="Garamond" w:eastAsia="Times New Roman" w:hAnsi="Garamond" w:cs="Times New Roman"/>
      <w:b/>
      <w:bCs/>
      <w:color w:val="000000"/>
      <w:kern w:val="3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26A4"/>
    <w:rPr>
      <w:rFonts w:ascii="Garamond" w:eastAsia="Times New Roman" w:hAnsi="Garamond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826A4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26A4"/>
    <w:rPr>
      <w:rFonts w:ascii="Garamond" w:eastAsia="Times New Roman" w:hAnsi="Garamond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rsid w:val="00A826A4"/>
    <w:rPr>
      <w:rFonts w:cs="Times New Roman"/>
      <w:vertAlign w:val="superscript"/>
    </w:rPr>
  </w:style>
  <w:style w:type="character" w:styleId="Hipercze">
    <w:name w:val="Hyperlink"/>
    <w:uiPriority w:val="99"/>
    <w:rsid w:val="008957BE"/>
    <w:rPr>
      <w:color w:val="0000FF"/>
      <w:u w:val="single"/>
    </w:rPr>
  </w:style>
  <w:style w:type="character" w:customStyle="1" w:styleId="tgc">
    <w:name w:val="_tgc"/>
    <w:basedOn w:val="Domylnaczcionkaakapitu"/>
    <w:rsid w:val="007911FB"/>
  </w:style>
  <w:style w:type="paragraph" w:styleId="NormalnyWeb">
    <w:name w:val="Normal (Web)"/>
    <w:basedOn w:val="Normalny"/>
    <w:uiPriority w:val="99"/>
    <w:semiHidden/>
    <w:unhideWhenUsed/>
    <w:rsid w:val="007911FB"/>
    <w:pPr>
      <w:ind w:left="0"/>
    </w:pPr>
    <w:rPr>
      <w:rFonts w:ascii="Times New Roman" w:hAnsi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5D3332"/>
    <w:rPr>
      <w:rFonts w:ascii="Garamond" w:eastAsia="Times New Roman" w:hAnsi="Garamond" w:cs="Times New Roman"/>
      <w:sz w:val="24"/>
      <w:lang w:eastAsia="pl-PL"/>
    </w:rPr>
  </w:style>
  <w:style w:type="paragraph" w:customStyle="1" w:styleId="GOMnormal">
    <w:name w:val="GOM_normal"/>
    <w:basedOn w:val="Normalny"/>
    <w:link w:val="GOMnormalZnak"/>
    <w:qFormat/>
    <w:rsid w:val="00040AE9"/>
    <w:pPr>
      <w:spacing w:before="120" w:after="120"/>
      <w:ind w:left="0"/>
      <w:jc w:val="both"/>
    </w:pPr>
    <w:rPr>
      <w:rFonts w:ascii="Calibri" w:hAnsi="Calibri"/>
      <w:sz w:val="20"/>
      <w:szCs w:val="20"/>
    </w:rPr>
  </w:style>
  <w:style w:type="character" w:customStyle="1" w:styleId="GOMnormalZnak">
    <w:name w:val="GOM_normal Znak"/>
    <w:basedOn w:val="Domylnaczcionkaakapitu"/>
    <w:link w:val="GOMnormal"/>
    <w:rsid w:val="00040AE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OMpodpistab">
    <w:name w:val="GOM_podpis tab"/>
    <w:basedOn w:val="Normalny"/>
    <w:link w:val="GOMpodpistabZnak"/>
    <w:qFormat/>
    <w:rsid w:val="00040AE9"/>
    <w:pPr>
      <w:spacing w:before="120" w:after="120"/>
      <w:ind w:left="0"/>
      <w:jc w:val="both"/>
    </w:pPr>
    <w:rPr>
      <w:rFonts w:ascii="Calibri" w:hAnsi="Calibri"/>
      <w:i/>
      <w:sz w:val="18"/>
      <w:szCs w:val="16"/>
    </w:rPr>
  </w:style>
  <w:style w:type="character" w:customStyle="1" w:styleId="GOMpodpistabZnak">
    <w:name w:val="GOM_podpis tab Znak"/>
    <w:basedOn w:val="Domylnaczcionkaakapitu"/>
    <w:link w:val="GOMpodpistab"/>
    <w:rsid w:val="00040AE9"/>
    <w:rPr>
      <w:rFonts w:ascii="Calibri" w:eastAsia="Times New Roman" w:hAnsi="Calibri" w:cs="Times New Roman"/>
      <w:i/>
      <w:sz w:val="18"/>
      <w:szCs w:val="16"/>
      <w:lang w:eastAsia="pl-PL"/>
    </w:rPr>
  </w:style>
  <w:style w:type="paragraph" w:customStyle="1" w:styleId="GOMprzypis">
    <w:name w:val="GOM_przypis"/>
    <w:basedOn w:val="Tekstprzypisudolnego"/>
    <w:link w:val="GOMprzypisZnak"/>
    <w:qFormat/>
    <w:rsid w:val="00040AE9"/>
    <w:pPr>
      <w:ind w:left="227" w:hanging="227"/>
    </w:pPr>
    <w:rPr>
      <w:rFonts w:ascii="Calibri" w:hAnsi="Calibri"/>
    </w:rPr>
  </w:style>
  <w:style w:type="character" w:customStyle="1" w:styleId="GOMprzypisZnak">
    <w:name w:val="GOM_przypis Znak"/>
    <w:basedOn w:val="Domylnaczcionkaakapitu"/>
    <w:link w:val="GOMprzypis"/>
    <w:rsid w:val="00040AE9"/>
    <w:rPr>
      <w:rFonts w:ascii="Calibri" w:eastAsia="Times New Roman" w:hAnsi="Calibri" w:cs="Times New Roman"/>
      <w:sz w:val="18"/>
      <w:szCs w:val="20"/>
      <w:lang w:eastAsia="pl-PL"/>
    </w:rPr>
  </w:style>
  <w:style w:type="paragraph" w:customStyle="1" w:styleId="Default">
    <w:name w:val="Default"/>
    <w:rsid w:val="0090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C7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C7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7107"/>
    <w:pPr>
      <w:keepLines/>
      <w:tabs>
        <w:tab w:val="clear" w:pos="360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B250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B2500"/>
    <w:pPr>
      <w:spacing w:after="100" w:line="276" w:lineRule="auto"/>
      <w:ind w:hanging="284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250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1">
    <w:name w:val="Styl1"/>
    <w:uiPriority w:val="99"/>
    <w:rsid w:val="00DD6BC9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500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500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43E"/>
    <w:pPr>
      <w:widowControl w:val="0"/>
      <w:suppressAutoHyphens/>
      <w:autoSpaceDE w:val="0"/>
      <w:ind w:left="0" w:right="-33"/>
      <w:jc w:val="both"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443E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6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744">
                  <w:marLeft w:val="0"/>
                  <w:marRight w:val="0"/>
                  <w:marTop w:val="0"/>
                  <w:marBottom w:val="0"/>
                  <w:divBdr>
                    <w:top w:val="single" w:sz="36" w:space="0" w:color="009BC1"/>
                    <w:left w:val="none" w:sz="0" w:space="0" w:color="auto"/>
                    <w:bottom w:val="single" w:sz="36" w:space="23" w:color="009BC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49518810148634E-2"/>
          <c:y val="5.1400554097404488E-2"/>
          <c:w val="0.8516102362204736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Arkusz1!$F$11</c:f>
              <c:strCache>
                <c:ptCount val="1"/>
                <c:pt idx="0">
                  <c:v>SO2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Arkusz1!$G$10:$I$10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Arkusz1!$G$11:$I$11</c:f>
              <c:numCache>
                <c:formatCode>0%</c:formatCode>
                <c:ptCount val="3"/>
                <c:pt idx="0">
                  <c:v>0.15500000000000003</c:v>
                </c:pt>
                <c:pt idx="1">
                  <c:v>0.15500000000000003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Arkusz1!$F$12</c:f>
              <c:strCache>
                <c:ptCount val="1"/>
                <c:pt idx="0">
                  <c:v>NO2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Arkusz1!$G$10:$I$10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Arkusz1!$G$12:$I$12</c:f>
              <c:numCache>
                <c:formatCode>0%</c:formatCode>
                <c:ptCount val="3"/>
                <c:pt idx="0">
                  <c:v>0.3050000000000001</c:v>
                </c:pt>
                <c:pt idx="1">
                  <c:v>0.34250000000000003</c:v>
                </c:pt>
                <c:pt idx="2">
                  <c:v>0.31000000000000005</c:v>
                </c:pt>
              </c:numCache>
            </c:numRef>
          </c:val>
        </c:ser>
        <c:ser>
          <c:idx val="2"/>
          <c:order val="2"/>
          <c:tx>
            <c:strRef>
              <c:f>Arkusz1!$F$13</c:f>
              <c:strCache>
                <c:ptCount val="1"/>
                <c:pt idx="0">
                  <c:v>pył PM10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Arkusz1!$G$10:$I$10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Arkusz1!$G$13:$I$13</c:f>
              <c:numCache>
                <c:formatCode>0%</c:formatCode>
                <c:ptCount val="3"/>
                <c:pt idx="0">
                  <c:v>0.40750000000000008</c:v>
                </c:pt>
                <c:pt idx="1">
                  <c:v>0.46750000000000003</c:v>
                </c:pt>
                <c:pt idx="2">
                  <c:v>0.35500000000000004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00832"/>
        <c:axId val="140284416"/>
      </c:barChart>
      <c:catAx>
        <c:axId val="14060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284416"/>
        <c:crosses val="autoZero"/>
        <c:auto val="1"/>
        <c:lblAlgn val="ctr"/>
        <c:lblOffset val="100"/>
        <c:noMultiLvlLbl val="0"/>
      </c:catAx>
      <c:valAx>
        <c:axId val="14028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60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68197725284393"/>
          <c:y val="5.4979585885097708E-2"/>
          <c:w val="0.28154024496937885"/>
          <c:h val="0.163188611840186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5214348212"/>
          <c:y val="5.1400554097404488E-2"/>
          <c:w val="0.8202213473315841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Arkusz1!$P$10</c:f>
              <c:strCache>
                <c:ptCount val="1"/>
                <c:pt idx="0">
                  <c:v>SO2 grzewczy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Arkusz1!$O$11:$O$13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Arkusz1!$P$11:$P$13</c:f>
              <c:numCache>
                <c:formatCode>0%</c:formatCode>
                <c:ptCount val="3"/>
                <c:pt idx="0">
                  <c:v>0.12400000000000001</c:v>
                </c:pt>
                <c:pt idx="1">
                  <c:v>0.19440000000000004</c:v>
                </c:pt>
                <c:pt idx="2">
                  <c:v>9.1200000000000003E-2</c:v>
                </c:pt>
              </c:numCache>
            </c:numRef>
          </c:val>
        </c:ser>
        <c:ser>
          <c:idx val="1"/>
          <c:order val="1"/>
          <c:tx>
            <c:strRef>
              <c:f>Arkusz1!$Q$10</c:f>
              <c:strCache>
                <c:ptCount val="1"/>
                <c:pt idx="0">
                  <c:v>SO2 letni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Arkusz1!$O$11:$O$13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Arkusz1!$Q$11:$Q$13</c:f>
              <c:numCache>
                <c:formatCode>0%</c:formatCode>
                <c:ptCount val="3"/>
                <c:pt idx="0">
                  <c:v>4.8800000000000003E-2</c:v>
                </c:pt>
                <c:pt idx="1">
                  <c:v>4.9600000000000005E-2</c:v>
                </c:pt>
                <c:pt idx="2">
                  <c:v>3.6799999999999999E-2</c:v>
                </c:pt>
              </c:numCache>
            </c:numRef>
          </c:val>
        </c:ser>
        <c:ser>
          <c:idx val="2"/>
          <c:order val="2"/>
          <c:tx>
            <c:strRef>
              <c:f>Arkusz1!$R$10</c:f>
              <c:strCache>
                <c:ptCount val="1"/>
                <c:pt idx="0">
                  <c:v>pył PM10 grzewczy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numRef>
              <c:f>Arkusz1!$O$11:$O$13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Arkusz1!$R$11:$R$13</c:f>
              <c:numCache>
                <c:formatCode>0%</c:formatCode>
                <c:ptCount val="3"/>
                <c:pt idx="0">
                  <c:v>1.0659999999999996</c:v>
                </c:pt>
                <c:pt idx="1">
                  <c:v>1.3819999999999997</c:v>
                </c:pt>
                <c:pt idx="2">
                  <c:v>1.284</c:v>
                </c:pt>
              </c:numCache>
            </c:numRef>
          </c:val>
        </c:ser>
        <c:ser>
          <c:idx val="3"/>
          <c:order val="3"/>
          <c:tx>
            <c:strRef>
              <c:f>Arkusz1!$S$10</c:f>
              <c:strCache>
                <c:ptCount val="1"/>
                <c:pt idx="0">
                  <c:v>pył PM10 letni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</c:spPr>
          <c:invertIfNegative val="0"/>
          <c:cat>
            <c:numRef>
              <c:f>Arkusz1!$O$11:$O$13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Arkusz1!$S$11:$S$13</c:f>
              <c:numCache>
                <c:formatCode>0%</c:formatCode>
                <c:ptCount val="3"/>
                <c:pt idx="0">
                  <c:v>0.8859999999999999</c:v>
                </c:pt>
                <c:pt idx="1">
                  <c:v>0.88400000000000001</c:v>
                </c:pt>
                <c:pt idx="2">
                  <c:v>0.62200000000000011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97760"/>
        <c:axId val="140286144"/>
      </c:barChart>
      <c:catAx>
        <c:axId val="1405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286144"/>
        <c:crosses val="autoZero"/>
        <c:auto val="1"/>
        <c:lblAlgn val="ctr"/>
        <c:lblOffset val="100"/>
        <c:noMultiLvlLbl val="0"/>
      </c:catAx>
      <c:valAx>
        <c:axId val="14028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59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393197725284341"/>
          <c:y val="6.4047098279381764E-2"/>
          <c:w val="0.7016235783027126"/>
          <c:h val="0.154313210848643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7DF5-5E3D-4F0A-B8DF-9F4B615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4257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Turowiecka</dc:creator>
  <cp:lastModifiedBy>Natalii Jakubowska-Handall</cp:lastModifiedBy>
  <cp:revision>3</cp:revision>
  <cp:lastPrinted>2016-09-07T08:41:00Z</cp:lastPrinted>
  <dcterms:created xsi:type="dcterms:W3CDTF">2016-09-21T07:55:00Z</dcterms:created>
  <dcterms:modified xsi:type="dcterms:W3CDTF">2017-01-30T10:14:00Z</dcterms:modified>
</cp:coreProperties>
</file>